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3D9" w:rsidRDefault="00EF33D9">
      <w:pPr>
        <w:pStyle w:val="a3"/>
        <w:spacing w:before="2"/>
        <w:rPr>
          <w:rFonts w:ascii="Times New Roman"/>
          <w:sz w:val="10"/>
        </w:rPr>
      </w:pPr>
      <w:bookmarkStart w:id="0" w:name="_GoBack"/>
      <w:bookmarkEnd w:id="0"/>
    </w:p>
    <w:p w:rsidR="00EF33D9" w:rsidRDefault="000D3E5C">
      <w:pPr>
        <w:pStyle w:val="1"/>
        <w:spacing w:before="103"/>
        <w:ind w:left="2135" w:firstLine="0"/>
      </w:pPr>
      <w:bookmarkStart w:id="1" w:name="COMMISSION_IMPLEMENTING_REGULATION_(EU)_"/>
      <w:bookmarkEnd w:id="1"/>
      <w:r>
        <w:t>COMMISSION IMPLEMENTING REGULATION (EU) 2018/671</w:t>
      </w:r>
    </w:p>
    <w:p w:rsidR="00EF33D9" w:rsidRDefault="000D3E5C">
      <w:pPr>
        <w:spacing w:before="110"/>
        <w:ind w:left="748" w:right="748"/>
        <w:jc w:val="center"/>
        <w:rPr>
          <w:rFonts w:ascii="Book Antiqua"/>
          <w:b/>
          <w:sz w:val="19"/>
        </w:rPr>
      </w:pPr>
      <w:r>
        <w:rPr>
          <w:rFonts w:ascii="Book Antiqua"/>
          <w:b/>
          <w:sz w:val="19"/>
        </w:rPr>
        <w:t>of 2 May 2018</w:t>
      </w:r>
    </w:p>
    <w:p w:rsidR="00EF33D9" w:rsidRDefault="000D3E5C">
      <w:pPr>
        <w:spacing w:before="123" w:line="223" w:lineRule="auto"/>
        <w:ind w:left="752" w:right="748"/>
        <w:jc w:val="center"/>
        <w:rPr>
          <w:rFonts w:ascii="Book Antiqua"/>
          <w:b/>
          <w:sz w:val="19"/>
        </w:rPr>
      </w:pPr>
      <w:r>
        <w:rPr>
          <w:rFonts w:ascii="Book Antiqua"/>
          <w:b/>
          <w:sz w:val="19"/>
        </w:rPr>
        <w:t>making imports of electric bicycles originating in the People's Republic of China subject to registration</w:t>
      </w:r>
    </w:p>
    <w:p w:rsidR="00EF33D9" w:rsidRDefault="00EF33D9">
      <w:pPr>
        <w:pStyle w:val="a3"/>
        <w:spacing w:before="9"/>
        <w:rPr>
          <w:rFonts w:ascii="Book Antiqua"/>
          <w:b/>
          <w:sz w:val="29"/>
        </w:rPr>
      </w:pPr>
    </w:p>
    <w:p w:rsidR="00EF33D9" w:rsidRDefault="000D3E5C">
      <w:pPr>
        <w:ind w:left="107"/>
        <w:rPr>
          <w:sz w:val="17"/>
        </w:rPr>
      </w:pPr>
      <w:r>
        <w:rPr>
          <w:sz w:val="17"/>
        </w:rPr>
        <w:t>THE EUROPEAN COMMISSION,</w:t>
      </w:r>
    </w:p>
    <w:p w:rsidR="00EF33D9" w:rsidRDefault="00EF33D9">
      <w:pPr>
        <w:pStyle w:val="a3"/>
        <w:spacing w:before="2"/>
        <w:rPr>
          <w:sz w:val="16"/>
        </w:rPr>
      </w:pPr>
    </w:p>
    <w:p w:rsidR="00EF33D9" w:rsidRDefault="000D3E5C">
      <w:pPr>
        <w:pStyle w:val="a3"/>
        <w:ind w:left="107"/>
      </w:pPr>
      <w:r>
        <w:rPr>
          <w:w w:val="105"/>
        </w:rPr>
        <w:t>Having regard to the Treaty on the Functioning of the European Union,</w:t>
      </w:r>
    </w:p>
    <w:p w:rsidR="00EF33D9" w:rsidRDefault="00EF33D9">
      <w:pPr>
        <w:pStyle w:val="a3"/>
        <w:spacing w:before="12"/>
        <w:rPr>
          <w:sz w:val="18"/>
        </w:rPr>
      </w:pPr>
    </w:p>
    <w:p w:rsidR="00EF33D9" w:rsidRDefault="000D3E5C">
      <w:pPr>
        <w:pStyle w:val="a3"/>
        <w:spacing w:line="189" w:lineRule="auto"/>
        <w:ind w:left="107" w:right="103"/>
        <w:jc w:val="both"/>
      </w:pPr>
      <w:r>
        <w:t>Having regard to Regulation (EU) 2016/1036 of the European Parliament and  of  the  Council  of  8  June  2016  on  protection against dumped imports from countries not members of the E</w:t>
      </w:r>
      <w:r>
        <w:t>uropean Union (</w:t>
      </w:r>
      <w:r>
        <w:rPr>
          <w:position w:val="6"/>
          <w:sz w:val="10"/>
        </w:rPr>
        <w:t>1</w:t>
      </w:r>
      <w:r>
        <w:t>) (‘the basic anti-dumping Regulation’), and in particular Article 14(5)</w:t>
      </w:r>
      <w:r>
        <w:rPr>
          <w:spacing w:val="43"/>
        </w:rPr>
        <w:t xml:space="preserve"> </w:t>
      </w:r>
      <w:r>
        <w:t>thereof,</w:t>
      </w:r>
    </w:p>
    <w:p w:rsidR="00EF33D9" w:rsidRDefault="00EF33D9">
      <w:pPr>
        <w:pStyle w:val="a3"/>
        <w:spacing w:before="2"/>
        <w:rPr>
          <w:sz w:val="20"/>
        </w:rPr>
      </w:pPr>
    </w:p>
    <w:p w:rsidR="00EF33D9" w:rsidRDefault="000D3E5C">
      <w:pPr>
        <w:pStyle w:val="a3"/>
        <w:spacing w:before="1" w:line="189" w:lineRule="auto"/>
        <w:ind w:left="107" w:right="105"/>
        <w:jc w:val="both"/>
      </w:pPr>
      <w:r>
        <w:t>Having regard to Regulation (EU) 2016/1037 of the European Parliament and  of  the  Council  of  8  June  2016  on  protection against subsidised imports fro</w:t>
      </w:r>
      <w:r>
        <w:t>m countries not members of the European Union (</w:t>
      </w:r>
      <w:r>
        <w:rPr>
          <w:position w:val="6"/>
          <w:sz w:val="10"/>
        </w:rPr>
        <w:t>2</w:t>
      </w:r>
      <w:r>
        <w:t>) (‘the basic anti-subsidy Regulation’), and in particular Article 24(5)</w:t>
      </w:r>
      <w:r>
        <w:rPr>
          <w:spacing w:val="43"/>
        </w:rPr>
        <w:t xml:space="preserve"> </w:t>
      </w:r>
      <w:r>
        <w:t>thereof,</w:t>
      </w:r>
    </w:p>
    <w:p w:rsidR="00EF33D9" w:rsidRDefault="00EF33D9">
      <w:pPr>
        <w:pStyle w:val="a3"/>
        <w:spacing w:before="4"/>
        <w:rPr>
          <w:sz w:val="17"/>
        </w:rPr>
      </w:pPr>
    </w:p>
    <w:p w:rsidR="00EF33D9" w:rsidRDefault="000D3E5C">
      <w:pPr>
        <w:pStyle w:val="a3"/>
        <w:spacing w:line="441" w:lineRule="auto"/>
        <w:ind w:left="107" w:right="6591"/>
      </w:pPr>
      <w:r>
        <w:rPr>
          <w:w w:val="105"/>
        </w:rPr>
        <w:t>After informing the Member States, Whereas:</w:t>
      </w:r>
    </w:p>
    <w:p w:rsidR="00EF33D9" w:rsidRDefault="000D3E5C">
      <w:pPr>
        <w:pStyle w:val="a4"/>
        <w:numPr>
          <w:ilvl w:val="0"/>
          <w:numId w:val="4"/>
        </w:numPr>
        <w:tabs>
          <w:tab w:val="left" w:pos="645"/>
        </w:tabs>
        <w:spacing w:before="40" w:line="189" w:lineRule="auto"/>
        <w:ind w:right="103" w:hanging="537"/>
        <w:jc w:val="both"/>
        <w:rPr>
          <w:sz w:val="19"/>
        </w:rPr>
      </w:pPr>
      <w:r>
        <w:rPr>
          <w:sz w:val="19"/>
        </w:rPr>
        <w:t xml:space="preserve">On 20 October 2017, the European Commission </w:t>
      </w:r>
      <w:r>
        <w:rPr>
          <w:w w:val="90"/>
          <w:sz w:val="19"/>
        </w:rPr>
        <w:t xml:space="preserve">(‘the  </w:t>
      </w:r>
      <w:r>
        <w:rPr>
          <w:sz w:val="19"/>
        </w:rPr>
        <w:t xml:space="preserve">Commission’) announced, by a notice published in the  </w:t>
      </w:r>
      <w:r>
        <w:rPr>
          <w:rFonts w:ascii="Cambria" w:hAnsi="Cambria"/>
          <w:i/>
          <w:sz w:val="19"/>
        </w:rPr>
        <w:t xml:space="preserve">Official Journal of the European Union </w:t>
      </w:r>
      <w:r>
        <w:rPr>
          <w:sz w:val="19"/>
        </w:rPr>
        <w:t>(</w:t>
      </w:r>
      <w:r>
        <w:rPr>
          <w:position w:val="6"/>
          <w:sz w:val="10"/>
        </w:rPr>
        <w:t>3</w:t>
      </w:r>
      <w:r>
        <w:rPr>
          <w:sz w:val="19"/>
        </w:rPr>
        <w:t xml:space="preserve">) </w:t>
      </w:r>
      <w:r>
        <w:rPr>
          <w:w w:val="90"/>
          <w:sz w:val="19"/>
        </w:rPr>
        <w:t xml:space="preserve">(‘the </w:t>
      </w:r>
      <w:r>
        <w:rPr>
          <w:sz w:val="19"/>
        </w:rPr>
        <w:t xml:space="preserve">AD notice of initiation’), the initiation of an anti-dumping proceeding </w:t>
      </w:r>
      <w:r>
        <w:rPr>
          <w:w w:val="90"/>
          <w:sz w:val="19"/>
        </w:rPr>
        <w:t xml:space="preserve">(‘the  </w:t>
      </w:r>
      <w:r>
        <w:rPr>
          <w:sz w:val="19"/>
        </w:rPr>
        <w:t>anti-dumping proceeding’) with regard to imports into the Union of electri</w:t>
      </w:r>
      <w:r>
        <w:rPr>
          <w:sz w:val="19"/>
        </w:rPr>
        <w:t xml:space="preserve">c bicycles originating    in the People's Republic of China </w:t>
      </w:r>
      <w:r>
        <w:rPr>
          <w:w w:val="90"/>
          <w:sz w:val="19"/>
        </w:rPr>
        <w:t xml:space="preserve">(‘PRC’) </w:t>
      </w:r>
      <w:r>
        <w:rPr>
          <w:sz w:val="19"/>
        </w:rPr>
        <w:t xml:space="preserve">following a complaint lodged on 8 September 2017 by the European </w:t>
      </w:r>
      <w:r>
        <w:rPr>
          <w:w w:val="94"/>
          <w:sz w:val="19"/>
        </w:rPr>
        <w:t>Bic</w:t>
      </w:r>
      <w:r>
        <w:rPr>
          <w:spacing w:val="-5"/>
          <w:w w:val="94"/>
          <w:sz w:val="19"/>
        </w:rPr>
        <w:t>y</w:t>
      </w:r>
      <w:r>
        <w:rPr>
          <w:w w:val="98"/>
          <w:sz w:val="19"/>
        </w:rPr>
        <w:t>cle</w:t>
      </w:r>
      <w:r>
        <w:rPr>
          <w:spacing w:val="24"/>
          <w:sz w:val="19"/>
        </w:rPr>
        <w:t xml:space="preserve"> </w:t>
      </w:r>
      <w:r>
        <w:rPr>
          <w:w w:val="101"/>
          <w:sz w:val="19"/>
        </w:rPr>
        <w:t>Manu</w:t>
      </w:r>
      <w:r>
        <w:rPr>
          <w:spacing w:val="-3"/>
          <w:w w:val="101"/>
          <w:sz w:val="19"/>
        </w:rPr>
        <w:t>f</w:t>
      </w:r>
      <w:r>
        <w:rPr>
          <w:w w:val="104"/>
          <w:sz w:val="19"/>
        </w:rPr>
        <w:t>acturers</w:t>
      </w:r>
      <w:r>
        <w:rPr>
          <w:sz w:val="19"/>
        </w:rPr>
        <w:t xml:space="preserve"> </w:t>
      </w:r>
      <w:r>
        <w:rPr>
          <w:spacing w:val="-25"/>
          <w:sz w:val="19"/>
        </w:rPr>
        <w:t xml:space="preserve"> </w:t>
      </w:r>
      <w:r>
        <w:rPr>
          <w:w w:val="103"/>
          <w:sz w:val="19"/>
        </w:rPr>
        <w:t>Association</w:t>
      </w:r>
      <w:r>
        <w:rPr>
          <w:spacing w:val="21"/>
          <w:sz w:val="19"/>
        </w:rPr>
        <w:t xml:space="preserve"> </w:t>
      </w:r>
      <w:r>
        <w:rPr>
          <w:w w:val="67"/>
          <w:sz w:val="19"/>
        </w:rPr>
        <w:t>(‘the</w:t>
      </w:r>
      <w:r>
        <w:rPr>
          <w:spacing w:val="24"/>
          <w:sz w:val="19"/>
        </w:rPr>
        <w:t xml:space="preserve"> </w:t>
      </w:r>
      <w:r>
        <w:rPr>
          <w:w w:val="106"/>
          <w:sz w:val="19"/>
        </w:rPr>
        <w:t>comp</w:t>
      </w:r>
      <w:r>
        <w:rPr>
          <w:spacing w:val="-3"/>
          <w:w w:val="106"/>
          <w:sz w:val="19"/>
        </w:rPr>
        <w:t>l</w:t>
      </w:r>
      <w:r>
        <w:rPr>
          <w:w w:val="107"/>
          <w:sz w:val="19"/>
        </w:rPr>
        <w:t>ainan</w:t>
      </w:r>
      <w:r>
        <w:rPr>
          <w:spacing w:val="2"/>
          <w:w w:val="107"/>
          <w:sz w:val="19"/>
        </w:rPr>
        <w:t>t</w:t>
      </w:r>
      <w:r>
        <w:rPr>
          <w:w w:val="16"/>
          <w:sz w:val="19"/>
        </w:rPr>
        <w:t>’</w:t>
      </w:r>
      <w:r>
        <w:rPr>
          <w:spacing w:val="23"/>
          <w:sz w:val="19"/>
        </w:rPr>
        <w:t xml:space="preserve"> </w:t>
      </w:r>
      <w:r>
        <w:rPr>
          <w:w w:val="110"/>
          <w:sz w:val="19"/>
        </w:rPr>
        <w:t>or</w:t>
      </w:r>
      <w:r>
        <w:rPr>
          <w:spacing w:val="23"/>
          <w:sz w:val="19"/>
        </w:rPr>
        <w:t xml:space="preserve"> </w:t>
      </w:r>
      <w:r>
        <w:rPr>
          <w:w w:val="71"/>
          <w:sz w:val="19"/>
        </w:rPr>
        <w:t>‘EBM</w:t>
      </w:r>
      <w:r>
        <w:rPr>
          <w:spacing w:val="-10"/>
          <w:w w:val="71"/>
          <w:sz w:val="19"/>
        </w:rPr>
        <w:t>A</w:t>
      </w:r>
      <w:r>
        <w:rPr>
          <w:w w:val="32"/>
          <w:sz w:val="19"/>
        </w:rPr>
        <w:t>’)</w:t>
      </w:r>
      <w:r>
        <w:rPr>
          <w:spacing w:val="23"/>
          <w:sz w:val="19"/>
        </w:rPr>
        <w:t xml:space="preserve"> </w:t>
      </w:r>
      <w:r>
        <w:rPr>
          <w:w w:val="111"/>
          <w:sz w:val="19"/>
        </w:rPr>
        <w:t>on</w:t>
      </w:r>
      <w:r>
        <w:rPr>
          <w:spacing w:val="23"/>
          <w:sz w:val="19"/>
        </w:rPr>
        <w:t xml:space="preserve"> </w:t>
      </w:r>
      <w:r>
        <w:rPr>
          <w:w w:val="102"/>
          <w:sz w:val="19"/>
        </w:rPr>
        <w:t>behalf</w:t>
      </w:r>
      <w:r>
        <w:rPr>
          <w:spacing w:val="20"/>
          <w:sz w:val="19"/>
        </w:rPr>
        <w:t xml:space="preserve"> </w:t>
      </w:r>
      <w:r>
        <w:rPr>
          <w:w w:val="103"/>
          <w:sz w:val="19"/>
        </w:rPr>
        <w:t>of</w:t>
      </w:r>
      <w:r>
        <w:rPr>
          <w:spacing w:val="23"/>
          <w:sz w:val="19"/>
        </w:rPr>
        <w:t xml:space="preserve"> </w:t>
      </w:r>
      <w:r>
        <w:rPr>
          <w:w w:val="106"/>
          <w:sz w:val="19"/>
        </w:rPr>
        <w:t>producers</w:t>
      </w:r>
      <w:r>
        <w:rPr>
          <w:spacing w:val="22"/>
          <w:sz w:val="19"/>
        </w:rPr>
        <w:t xml:space="preserve"> </w:t>
      </w:r>
      <w:r>
        <w:rPr>
          <w:w w:val="105"/>
          <w:sz w:val="19"/>
        </w:rPr>
        <w:t>representing</w:t>
      </w:r>
      <w:r>
        <w:rPr>
          <w:spacing w:val="23"/>
          <w:sz w:val="19"/>
        </w:rPr>
        <w:t xml:space="preserve"> </w:t>
      </w:r>
      <w:r>
        <w:rPr>
          <w:w w:val="107"/>
          <w:sz w:val="19"/>
        </w:rPr>
        <w:t>more</w:t>
      </w:r>
      <w:r>
        <w:rPr>
          <w:spacing w:val="24"/>
          <w:sz w:val="19"/>
        </w:rPr>
        <w:t xml:space="preserve"> </w:t>
      </w:r>
      <w:r>
        <w:rPr>
          <w:w w:val="109"/>
          <w:sz w:val="19"/>
        </w:rPr>
        <w:t xml:space="preserve">than </w:t>
      </w:r>
      <w:r>
        <w:rPr>
          <w:sz w:val="19"/>
        </w:rPr>
        <w:t>25</w:t>
      </w:r>
      <w:r>
        <w:rPr>
          <w:spacing w:val="8"/>
          <w:sz w:val="19"/>
        </w:rPr>
        <w:t xml:space="preserve"> </w:t>
      </w:r>
      <w:r>
        <w:rPr>
          <w:sz w:val="19"/>
        </w:rPr>
        <w:t>%</w:t>
      </w:r>
      <w:r>
        <w:rPr>
          <w:spacing w:val="10"/>
          <w:sz w:val="19"/>
        </w:rPr>
        <w:t xml:space="preserve"> </w:t>
      </w:r>
      <w:r>
        <w:rPr>
          <w:sz w:val="19"/>
        </w:rPr>
        <w:t>of</w:t>
      </w:r>
      <w:r>
        <w:rPr>
          <w:spacing w:val="14"/>
          <w:sz w:val="19"/>
        </w:rPr>
        <w:t xml:space="preserve"> </w:t>
      </w:r>
      <w:r>
        <w:rPr>
          <w:sz w:val="19"/>
        </w:rPr>
        <w:t>the</w:t>
      </w:r>
      <w:r>
        <w:rPr>
          <w:spacing w:val="9"/>
          <w:sz w:val="19"/>
        </w:rPr>
        <w:t xml:space="preserve"> </w:t>
      </w:r>
      <w:r>
        <w:rPr>
          <w:sz w:val="19"/>
        </w:rPr>
        <w:t>total</w:t>
      </w:r>
      <w:r>
        <w:rPr>
          <w:spacing w:val="8"/>
          <w:sz w:val="19"/>
        </w:rPr>
        <w:t xml:space="preserve"> </w:t>
      </w:r>
      <w:r>
        <w:rPr>
          <w:sz w:val="19"/>
        </w:rPr>
        <w:t>Union</w:t>
      </w:r>
      <w:r>
        <w:rPr>
          <w:spacing w:val="8"/>
          <w:sz w:val="19"/>
        </w:rPr>
        <w:t xml:space="preserve"> </w:t>
      </w:r>
      <w:r>
        <w:rPr>
          <w:sz w:val="19"/>
        </w:rPr>
        <w:t>production</w:t>
      </w:r>
      <w:r>
        <w:rPr>
          <w:spacing w:val="9"/>
          <w:sz w:val="19"/>
        </w:rPr>
        <w:t xml:space="preserve"> </w:t>
      </w:r>
      <w:r>
        <w:rPr>
          <w:sz w:val="19"/>
        </w:rPr>
        <w:t>of</w:t>
      </w:r>
      <w:r>
        <w:rPr>
          <w:spacing w:val="7"/>
          <w:sz w:val="19"/>
        </w:rPr>
        <w:t xml:space="preserve"> </w:t>
      </w:r>
      <w:r>
        <w:rPr>
          <w:sz w:val="19"/>
        </w:rPr>
        <w:t>electric</w:t>
      </w:r>
      <w:r>
        <w:rPr>
          <w:spacing w:val="8"/>
          <w:sz w:val="19"/>
        </w:rPr>
        <w:t xml:space="preserve"> </w:t>
      </w:r>
      <w:r>
        <w:rPr>
          <w:sz w:val="19"/>
        </w:rPr>
        <w:t>bicycles.</w:t>
      </w:r>
    </w:p>
    <w:p w:rsidR="00EF33D9" w:rsidRDefault="00EF33D9">
      <w:pPr>
        <w:pStyle w:val="a3"/>
        <w:spacing w:before="7"/>
        <w:rPr>
          <w:sz w:val="20"/>
        </w:rPr>
      </w:pPr>
    </w:p>
    <w:p w:rsidR="00EF33D9" w:rsidRDefault="000D3E5C">
      <w:pPr>
        <w:pStyle w:val="a4"/>
        <w:numPr>
          <w:ilvl w:val="0"/>
          <w:numId w:val="4"/>
        </w:numPr>
        <w:tabs>
          <w:tab w:val="left" w:pos="645"/>
        </w:tabs>
        <w:spacing w:line="189" w:lineRule="auto"/>
        <w:ind w:right="103" w:hanging="537"/>
        <w:jc w:val="both"/>
        <w:rPr>
          <w:sz w:val="19"/>
        </w:rPr>
      </w:pPr>
      <w:r>
        <w:rPr>
          <w:sz w:val="19"/>
        </w:rPr>
        <w:t xml:space="preserve">On 21 December 2017, the Commission announced, by a notice published in the </w:t>
      </w:r>
      <w:r>
        <w:rPr>
          <w:rFonts w:ascii="Cambria" w:hAnsi="Cambria"/>
          <w:i/>
          <w:sz w:val="19"/>
        </w:rPr>
        <w:t>Official Journal of the European Union</w:t>
      </w:r>
      <w:r>
        <w:rPr>
          <w:rFonts w:ascii="Cambria" w:hAnsi="Cambria"/>
          <w:i/>
          <w:spacing w:val="-5"/>
          <w:sz w:val="19"/>
        </w:rPr>
        <w:t xml:space="preserve"> </w:t>
      </w:r>
      <w:r>
        <w:rPr>
          <w:sz w:val="19"/>
        </w:rPr>
        <w:t>(</w:t>
      </w:r>
      <w:r>
        <w:rPr>
          <w:position w:val="6"/>
          <w:sz w:val="10"/>
        </w:rPr>
        <w:t>4</w:t>
      </w:r>
      <w:r>
        <w:rPr>
          <w:sz w:val="19"/>
        </w:rPr>
        <w:t>)</w:t>
      </w:r>
      <w:r>
        <w:rPr>
          <w:spacing w:val="-11"/>
          <w:sz w:val="19"/>
        </w:rPr>
        <w:t xml:space="preserve"> </w:t>
      </w:r>
      <w:r>
        <w:rPr>
          <w:sz w:val="19"/>
        </w:rPr>
        <w:t>(‘the</w:t>
      </w:r>
      <w:r>
        <w:rPr>
          <w:spacing w:val="-10"/>
          <w:sz w:val="19"/>
        </w:rPr>
        <w:t xml:space="preserve"> </w:t>
      </w:r>
      <w:r>
        <w:rPr>
          <w:sz w:val="19"/>
        </w:rPr>
        <w:t>AS</w:t>
      </w:r>
      <w:r>
        <w:rPr>
          <w:spacing w:val="-10"/>
          <w:sz w:val="19"/>
        </w:rPr>
        <w:t xml:space="preserve"> </w:t>
      </w:r>
      <w:r>
        <w:rPr>
          <w:sz w:val="19"/>
        </w:rPr>
        <w:t>notice</w:t>
      </w:r>
      <w:r>
        <w:rPr>
          <w:spacing w:val="-10"/>
          <w:sz w:val="19"/>
        </w:rPr>
        <w:t xml:space="preserve"> </w:t>
      </w:r>
      <w:r>
        <w:rPr>
          <w:sz w:val="19"/>
        </w:rPr>
        <w:t>of</w:t>
      </w:r>
      <w:r>
        <w:rPr>
          <w:spacing w:val="-9"/>
          <w:sz w:val="19"/>
        </w:rPr>
        <w:t xml:space="preserve"> </w:t>
      </w:r>
      <w:r>
        <w:rPr>
          <w:sz w:val="19"/>
        </w:rPr>
        <w:t>initiation’),</w:t>
      </w:r>
      <w:r>
        <w:rPr>
          <w:spacing w:val="-11"/>
          <w:sz w:val="19"/>
        </w:rPr>
        <w:t xml:space="preserve"> </w:t>
      </w:r>
      <w:r>
        <w:rPr>
          <w:sz w:val="19"/>
        </w:rPr>
        <w:t>the</w:t>
      </w:r>
      <w:r>
        <w:rPr>
          <w:spacing w:val="-10"/>
          <w:sz w:val="19"/>
        </w:rPr>
        <w:t xml:space="preserve"> </w:t>
      </w:r>
      <w:r>
        <w:rPr>
          <w:sz w:val="19"/>
        </w:rPr>
        <w:t>initiation</w:t>
      </w:r>
      <w:r>
        <w:rPr>
          <w:spacing w:val="-11"/>
          <w:sz w:val="19"/>
        </w:rPr>
        <w:t xml:space="preserve"> </w:t>
      </w:r>
      <w:r>
        <w:rPr>
          <w:sz w:val="19"/>
        </w:rPr>
        <w:t>of</w:t>
      </w:r>
      <w:r>
        <w:rPr>
          <w:spacing w:val="-12"/>
          <w:sz w:val="19"/>
        </w:rPr>
        <w:t xml:space="preserve"> </w:t>
      </w:r>
      <w:r>
        <w:rPr>
          <w:sz w:val="19"/>
        </w:rPr>
        <w:t>an</w:t>
      </w:r>
      <w:r>
        <w:rPr>
          <w:spacing w:val="-10"/>
          <w:sz w:val="19"/>
        </w:rPr>
        <w:t xml:space="preserve"> </w:t>
      </w:r>
      <w:r>
        <w:rPr>
          <w:sz w:val="19"/>
        </w:rPr>
        <w:t>anti-subsidy</w:t>
      </w:r>
      <w:r>
        <w:rPr>
          <w:spacing w:val="-10"/>
          <w:sz w:val="19"/>
        </w:rPr>
        <w:t xml:space="preserve"> </w:t>
      </w:r>
      <w:r>
        <w:rPr>
          <w:sz w:val="19"/>
        </w:rPr>
        <w:t>proceeding</w:t>
      </w:r>
      <w:r>
        <w:rPr>
          <w:spacing w:val="-11"/>
          <w:sz w:val="19"/>
        </w:rPr>
        <w:t xml:space="preserve"> </w:t>
      </w:r>
      <w:r>
        <w:rPr>
          <w:sz w:val="19"/>
        </w:rPr>
        <w:t>(‘the</w:t>
      </w:r>
      <w:r>
        <w:rPr>
          <w:spacing w:val="-10"/>
          <w:sz w:val="19"/>
        </w:rPr>
        <w:t xml:space="preserve"> </w:t>
      </w:r>
      <w:r>
        <w:rPr>
          <w:sz w:val="19"/>
        </w:rPr>
        <w:t>anti-subsidy</w:t>
      </w:r>
      <w:r>
        <w:rPr>
          <w:spacing w:val="-10"/>
          <w:sz w:val="19"/>
        </w:rPr>
        <w:t xml:space="preserve"> </w:t>
      </w:r>
      <w:r>
        <w:rPr>
          <w:sz w:val="19"/>
        </w:rPr>
        <w:t>proceeding’) with regard to imports  into the Union of electric bicycles originating in the PRC following a complaint  lodged on       8 November 2017 by the complainant on behalf of producers representing more than 25 % of the total Union  pr</w:t>
      </w:r>
      <w:r>
        <w:rPr>
          <w:sz w:val="19"/>
        </w:rPr>
        <w:t>oduction of electric</w:t>
      </w:r>
      <w:r>
        <w:rPr>
          <w:spacing w:val="20"/>
          <w:sz w:val="19"/>
        </w:rPr>
        <w:t xml:space="preserve"> </w:t>
      </w:r>
      <w:r>
        <w:rPr>
          <w:sz w:val="19"/>
        </w:rPr>
        <w:t>bicycles.</w:t>
      </w:r>
    </w:p>
    <w:p w:rsidR="00EF33D9" w:rsidRDefault="00EF33D9">
      <w:pPr>
        <w:pStyle w:val="a3"/>
        <w:spacing w:before="5"/>
        <w:rPr>
          <w:sz w:val="27"/>
        </w:rPr>
      </w:pPr>
    </w:p>
    <w:p w:rsidR="00EF33D9" w:rsidRDefault="000D3E5C">
      <w:pPr>
        <w:pStyle w:val="a4"/>
        <w:numPr>
          <w:ilvl w:val="1"/>
          <w:numId w:val="4"/>
        </w:numPr>
        <w:tabs>
          <w:tab w:val="left" w:pos="3339"/>
        </w:tabs>
        <w:spacing w:before="1"/>
        <w:ind w:right="0"/>
        <w:rPr>
          <w:rFonts w:ascii="Book Antiqua"/>
          <w:b/>
          <w:sz w:val="17"/>
        </w:rPr>
      </w:pPr>
      <w:r>
        <w:rPr>
          <w:rFonts w:ascii="Book Antiqua"/>
          <w:b/>
          <w:sz w:val="17"/>
        </w:rPr>
        <w:t>PRODUCT CONCERNED AND LIKE</w:t>
      </w:r>
      <w:r>
        <w:rPr>
          <w:rFonts w:ascii="Book Antiqua"/>
          <w:b/>
          <w:spacing w:val="-2"/>
          <w:sz w:val="17"/>
        </w:rPr>
        <w:t xml:space="preserve"> </w:t>
      </w:r>
      <w:r>
        <w:rPr>
          <w:rFonts w:ascii="Book Antiqua"/>
          <w:b/>
          <w:sz w:val="17"/>
        </w:rPr>
        <w:t>PRODUCT</w:t>
      </w:r>
    </w:p>
    <w:p w:rsidR="00EF33D9" w:rsidRDefault="00EF33D9">
      <w:pPr>
        <w:pStyle w:val="a3"/>
        <w:spacing w:before="10"/>
        <w:rPr>
          <w:rFonts w:ascii="Book Antiqua"/>
          <w:b/>
          <w:sz w:val="21"/>
        </w:rPr>
      </w:pPr>
    </w:p>
    <w:p w:rsidR="00EF33D9" w:rsidRDefault="000D3E5C">
      <w:pPr>
        <w:pStyle w:val="a4"/>
        <w:numPr>
          <w:ilvl w:val="0"/>
          <w:numId w:val="4"/>
        </w:numPr>
        <w:tabs>
          <w:tab w:val="left" w:pos="645"/>
        </w:tabs>
        <w:spacing w:before="1" w:line="189" w:lineRule="auto"/>
        <w:ind w:right="105" w:hanging="537"/>
        <w:jc w:val="both"/>
        <w:rPr>
          <w:sz w:val="19"/>
        </w:rPr>
      </w:pPr>
      <w:r>
        <w:rPr>
          <w:sz w:val="19"/>
        </w:rPr>
        <w:t>The product subject to registration (‘the product concerned’) for both proceedings is cycles, with pedal assistance, with an  auxiliary  electric  motor,  originating  in  the  PRC,  curre</w:t>
      </w:r>
      <w:r>
        <w:rPr>
          <w:sz w:val="19"/>
        </w:rPr>
        <w:t>ntly  falling  within  CN  codes  8711  60  10  and  ex 8711 60 90 (TARIC code 8711 60 90 10). These CN and TARIC codes are given for information</w:t>
      </w:r>
      <w:r>
        <w:rPr>
          <w:spacing w:val="13"/>
          <w:sz w:val="19"/>
        </w:rPr>
        <w:t xml:space="preserve"> </w:t>
      </w:r>
      <w:r>
        <w:rPr>
          <w:sz w:val="19"/>
        </w:rPr>
        <w:t>only.</w:t>
      </w:r>
    </w:p>
    <w:p w:rsidR="00EF33D9" w:rsidRDefault="00EF33D9">
      <w:pPr>
        <w:pStyle w:val="a3"/>
        <w:spacing w:before="3"/>
        <w:rPr>
          <w:sz w:val="27"/>
        </w:rPr>
      </w:pPr>
    </w:p>
    <w:p w:rsidR="00EF33D9" w:rsidRDefault="000D3E5C">
      <w:pPr>
        <w:pStyle w:val="a4"/>
        <w:numPr>
          <w:ilvl w:val="0"/>
          <w:numId w:val="3"/>
        </w:numPr>
        <w:tabs>
          <w:tab w:val="left" w:pos="4731"/>
        </w:tabs>
        <w:ind w:right="0" w:hanging="250"/>
        <w:jc w:val="left"/>
        <w:rPr>
          <w:rFonts w:ascii="Book Antiqua"/>
          <w:b/>
          <w:sz w:val="17"/>
        </w:rPr>
      </w:pPr>
      <w:r>
        <w:rPr>
          <w:rFonts w:ascii="Book Antiqua"/>
          <w:b/>
          <w:sz w:val="17"/>
        </w:rPr>
        <w:t>REQUEST</w:t>
      </w:r>
    </w:p>
    <w:p w:rsidR="00EF33D9" w:rsidRDefault="00EF33D9">
      <w:pPr>
        <w:pStyle w:val="a3"/>
        <w:spacing w:before="10"/>
        <w:rPr>
          <w:rFonts w:ascii="Book Antiqua"/>
          <w:b/>
          <w:sz w:val="21"/>
        </w:rPr>
      </w:pPr>
    </w:p>
    <w:p w:rsidR="00EF33D9" w:rsidRDefault="000D3E5C">
      <w:pPr>
        <w:pStyle w:val="a4"/>
        <w:numPr>
          <w:ilvl w:val="0"/>
          <w:numId w:val="4"/>
        </w:numPr>
        <w:tabs>
          <w:tab w:val="left" w:pos="645"/>
        </w:tabs>
        <w:spacing w:line="189" w:lineRule="auto"/>
        <w:ind w:hanging="537"/>
        <w:jc w:val="both"/>
        <w:rPr>
          <w:sz w:val="19"/>
        </w:rPr>
      </w:pPr>
      <w:r>
        <w:rPr>
          <w:w w:val="105"/>
          <w:sz w:val="19"/>
        </w:rPr>
        <w:t>The complainant indicated in its complaints its intention to request registration. On 31 January 2018, the complainant submitted registration requests pursuant to Article 14(5) of the basic anti-dumping Regulation and Article 24(5) of the basic anti-subsid</w:t>
      </w:r>
      <w:r>
        <w:rPr>
          <w:w w:val="105"/>
          <w:sz w:val="19"/>
        </w:rPr>
        <w:t>y Regulation. The complainant requested that imports of the</w:t>
      </w:r>
      <w:r>
        <w:rPr>
          <w:spacing w:val="33"/>
          <w:w w:val="105"/>
          <w:sz w:val="19"/>
        </w:rPr>
        <w:t xml:space="preserve"> </w:t>
      </w:r>
      <w:r>
        <w:rPr>
          <w:w w:val="105"/>
          <w:sz w:val="19"/>
        </w:rPr>
        <w:t>product concerned be made subject to registration so that measures may subsequently be applied against those imports from</w:t>
      </w:r>
      <w:r>
        <w:rPr>
          <w:spacing w:val="4"/>
          <w:w w:val="105"/>
          <w:sz w:val="19"/>
        </w:rPr>
        <w:t xml:space="preserve"> </w:t>
      </w:r>
      <w:r>
        <w:rPr>
          <w:w w:val="105"/>
          <w:sz w:val="19"/>
        </w:rPr>
        <w:t>the</w:t>
      </w:r>
      <w:r>
        <w:rPr>
          <w:spacing w:val="5"/>
          <w:w w:val="105"/>
          <w:sz w:val="19"/>
        </w:rPr>
        <w:t xml:space="preserve"> </w:t>
      </w:r>
      <w:r>
        <w:rPr>
          <w:w w:val="105"/>
          <w:sz w:val="19"/>
        </w:rPr>
        <w:t>date</w:t>
      </w:r>
      <w:r>
        <w:rPr>
          <w:spacing w:val="4"/>
          <w:w w:val="105"/>
          <w:sz w:val="19"/>
        </w:rPr>
        <w:t xml:space="preserve"> </w:t>
      </w:r>
      <w:r>
        <w:rPr>
          <w:w w:val="105"/>
          <w:sz w:val="19"/>
        </w:rPr>
        <w:t>of</w:t>
      </w:r>
      <w:r>
        <w:rPr>
          <w:spacing w:val="6"/>
          <w:w w:val="105"/>
          <w:sz w:val="19"/>
        </w:rPr>
        <w:t xml:space="preserve"> </w:t>
      </w:r>
      <w:r>
        <w:rPr>
          <w:w w:val="105"/>
          <w:sz w:val="19"/>
        </w:rPr>
        <w:t>such</w:t>
      </w:r>
      <w:r>
        <w:rPr>
          <w:spacing w:val="2"/>
          <w:w w:val="105"/>
          <w:sz w:val="19"/>
        </w:rPr>
        <w:t xml:space="preserve"> </w:t>
      </w:r>
      <w:r>
        <w:rPr>
          <w:w w:val="105"/>
          <w:sz w:val="19"/>
        </w:rPr>
        <w:t>registration,</w:t>
      </w:r>
      <w:r>
        <w:rPr>
          <w:spacing w:val="5"/>
          <w:w w:val="105"/>
          <w:sz w:val="19"/>
        </w:rPr>
        <w:t xml:space="preserve"> </w:t>
      </w:r>
      <w:r>
        <w:rPr>
          <w:w w:val="105"/>
          <w:sz w:val="19"/>
        </w:rPr>
        <w:t>provided</w:t>
      </w:r>
      <w:r>
        <w:rPr>
          <w:spacing w:val="3"/>
          <w:w w:val="105"/>
          <w:sz w:val="19"/>
        </w:rPr>
        <w:t xml:space="preserve"> </w:t>
      </w:r>
      <w:r>
        <w:rPr>
          <w:w w:val="105"/>
          <w:sz w:val="19"/>
        </w:rPr>
        <w:t>all</w:t>
      </w:r>
      <w:r>
        <w:rPr>
          <w:spacing w:val="6"/>
          <w:w w:val="105"/>
          <w:sz w:val="19"/>
        </w:rPr>
        <w:t xml:space="preserve"> </w:t>
      </w:r>
      <w:r>
        <w:rPr>
          <w:w w:val="105"/>
          <w:sz w:val="19"/>
        </w:rPr>
        <w:t>conditions</w:t>
      </w:r>
      <w:r>
        <w:rPr>
          <w:spacing w:val="4"/>
          <w:w w:val="105"/>
          <w:sz w:val="19"/>
        </w:rPr>
        <w:t xml:space="preserve"> </w:t>
      </w:r>
      <w:r>
        <w:rPr>
          <w:w w:val="105"/>
          <w:sz w:val="19"/>
        </w:rPr>
        <w:t>set</w:t>
      </w:r>
      <w:r>
        <w:rPr>
          <w:spacing w:val="2"/>
          <w:w w:val="105"/>
          <w:sz w:val="19"/>
        </w:rPr>
        <w:t xml:space="preserve"> </w:t>
      </w:r>
      <w:r>
        <w:rPr>
          <w:w w:val="105"/>
          <w:sz w:val="19"/>
        </w:rPr>
        <w:t>out</w:t>
      </w:r>
      <w:r>
        <w:rPr>
          <w:spacing w:val="6"/>
          <w:w w:val="105"/>
          <w:sz w:val="19"/>
        </w:rPr>
        <w:t xml:space="preserve"> </w:t>
      </w:r>
      <w:r>
        <w:rPr>
          <w:w w:val="105"/>
          <w:sz w:val="19"/>
        </w:rPr>
        <w:t>in</w:t>
      </w:r>
      <w:r>
        <w:rPr>
          <w:spacing w:val="5"/>
          <w:w w:val="105"/>
          <w:sz w:val="19"/>
        </w:rPr>
        <w:t xml:space="preserve"> </w:t>
      </w:r>
      <w:r>
        <w:rPr>
          <w:w w:val="105"/>
          <w:sz w:val="19"/>
        </w:rPr>
        <w:t>the</w:t>
      </w:r>
      <w:r>
        <w:rPr>
          <w:spacing w:val="5"/>
          <w:w w:val="105"/>
          <w:sz w:val="19"/>
        </w:rPr>
        <w:t xml:space="preserve"> </w:t>
      </w:r>
      <w:r>
        <w:rPr>
          <w:w w:val="105"/>
          <w:sz w:val="19"/>
        </w:rPr>
        <w:t>basi</w:t>
      </w:r>
      <w:r>
        <w:rPr>
          <w:w w:val="105"/>
          <w:sz w:val="19"/>
        </w:rPr>
        <w:t>c</w:t>
      </w:r>
      <w:r>
        <w:rPr>
          <w:spacing w:val="5"/>
          <w:w w:val="105"/>
          <w:sz w:val="19"/>
        </w:rPr>
        <w:t xml:space="preserve"> </w:t>
      </w:r>
      <w:r>
        <w:rPr>
          <w:w w:val="105"/>
          <w:sz w:val="19"/>
        </w:rPr>
        <w:t>Regulations</w:t>
      </w:r>
      <w:r>
        <w:rPr>
          <w:spacing w:val="6"/>
          <w:w w:val="105"/>
          <w:sz w:val="19"/>
        </w:rPr>
        <w:t xml:space="preserve"> </w:t>
      </w:r>
      <w:r>
        <w:rPr>
          <w:w w:val="105"/>
          <w:sz w:val="19"/>
        </w:rPr>
        <w:t>are</w:t>
      </w:r>
      <w:r>
        <w:rPr>
          <w:spacing w:val="5"/>
          <w:w w:val="105"/>
          <w:sz w:val="19"/>
        </w:rPr>
        <w:t xml:space="preserve"> </w:t>
      </w:r>
      <w:r>
        <w:rPr>
          <w:w w:val="105"/>
          <w:sz w:val="19"/>
        </w:rPr>
        <w:t>met.</w:t>
      </w:r>
    </w:p>
    <w:p w:rsidR="00EF33D9" w:rsidRDefault="00EF33D9">
      <w:pPr>
        <w:pStyle w:val="a3"/>
        <w:spacing w:before="7"/>
        <w:rPr>
          <w:sz w:val="27"/>
        </w:rPr>
      </w:pPr>
    </w:p>
    <w:p w:rsidR="00EF33D9" w:rsidRDefault="000D3E5C">
      <w:pPr>
        <w:pStyle w:val="a4"/>
        <w:numPr>
          <w:ilvl w:val="0"/>
          <w:numId w:val="3"/>
        </w:numPr>
        <w:tabs>
          <w:tab w:val="left" w:pos="3864"/>
        </w:tabs>
        <w:ind w:left="3863" w:right="0"/>
        <w:jc w:val="left"/>
        <w:rPr>
          <w:rFonts w:ascii="Book Antiqua"/>
          <w:b/>
          <w:sz w:val="17"/>
        </w:rPr>
      </w:pPr>
      <w:r>
        <w:rPr>
          <w:rFonts w:ascii="Book Antiqua"/>
          <w:b/>
          <w:sz w:val="17"/>
        </w:rPr>
        <w:t>GROUNDS FOR</w:t>
      </w:r>
      <w:r>
        <w:rPr>
          <w:rFonts w:ascii="Book Antiqua"/>
          <w:b/>
          <w:spacing w:val="10"/>
          <w:sz w:val="17"/>
        </w:rPr>
        <w:t xml:space="preserve"> </w:t>
      </w:r>
      <w:r>
        <w:rPr>
          <w:rFonts w:ascii="Book Antiqua"/>
          <w:b/>
          <w:sz w:val="17"/>
        </w:rPr>
        <w:t>REGISTRATION</w:t>
      </w:r>
    </w:p>
    <w:p w:rsidR="00EF33D9" w:rsidRDefault="00EF33D9">
      <w:pPr>
        <w:pStyle w:val="a3"/>
        <w:spacing w:before="10"/>
        <w:rPr>
          <w:rFonts w:ascii="Book Antiqua"/>
          <w:b/>
          <w:sz w:val="21"/>
        </w:rPr>
      </w:pPr>
    </w:p>
    <w:p w:rsidR="00EF33D9" w:rsidRDefault="000D3E5C">
      <w:pPr>
        <w:pStyle w:val="a4"/>
        <w:numPr>
          <w:ilvl w:val="0"/>
          <w:numId w:val="4"/>
        </w:numPr>
        <w:tabs>
          <w:tab w:val="left" w:pos="645"/>
        </w:tabs>
        <w:spacing w:line="189" w:lineRule="auto"/>
        <w:ind w:right="105" w:hanging="537"/>
        <w:jc w:val="both"/>
        <w:rPr>
          <w:sz w:val="19"/>
        </w:rPr>
      </w:pPr>
      <w:r>
        <w:rPr>
          <w:w w:val="105"/>
          <w:sz w:val="19"/>
        </w:rPr>
        <w:t>According to Article 14(5) of the basic anti-dumping Regulation and Article 24(5) of the basic anti-subsidy Regulation, the Commission may direct the customs authorities to take the appropriate steps to register imports,</w:t>
      </w:r>
      <w:r>
        <w:rPr>
          <w:spacing w:val="51"/>
          <w:w w:val="105"/>
          <w:sz w:val="19"/>
        </w:rPr>
        <w:t xml:space="preserve"> </w:t>
      </w:r>
      <w:r>
        <w:rPr>
          <w:w w:val="105"/>
          <w:sz w:val="19"/>
        </w:rPr>
        <w:t>so that measures may subsequently b</w:t>
      </w:r>
      <w:r>
        <w:rPr>
          <w:w w:val="105"/>
          <w:sz w:val="19"/>
        </w:rPr>
        <w:t>e applied against those imports from the date of such registration, provided all conditions set out in the basic Regulations are met. Imports may be made subject to registration following       a request from the Union industry, which contains sufficient e</w:t>
      </w:r>
      <w:r>
        <w:rPr>
          <w:w w:val="105"/>
          <w:sz w:val="19"/>
        </w:rPr>
        <w:t>vidence to justify such</w:t>
      </w:r>
      <w:r>
        <w:rPr>
          <w:spacing w:val="45"/>
          <w:w w:val="105"/>
          <w:sz w:val="19"/>
        </w:rPr>
        <w:t xml:space="preserve"> </w:t>
      </w:r>
      <w:r>
        <w:rPr>
          <w:w w:val="105"/>
          <w:sz w:val="19"/>
        </w:rPr>
        <w:t>action.</w:t>
      </w:r>
    </w:p>
    <w:p w:rsidR="00EF33D9" w:rsidRDefault="00706179">
      <w:pPr>
        <w:pStyle w:val="a3"/>
        <w:spacing w:before="9"/>
        <w:rPr>
          <w:sz w:val="9"/>
        </w:rPr>
      </w:pPr>
      <w:r>
        <w:rPr>
          <w:noProof/>
        </w:rPr>
        <mc:AlternateContent>
          <mc:Choice Requires="wps">
            <w:drawing>
              <wp:anchor distT="0" distB="0" distL="0" distR="0" simplePos="0" relativeHeight="251656704" behindDoc="1" locked="0" layoutInCell="1" allowOverlap="1">
                <wp:simplePos x="0" y="0"/>
                <wp:positionH relativeFrom="page">
                  <wp:posOffset>855345</wp:posOffset>
                </wp:positionH>
                <wp:positionV relativeFrom="paragraph">
                  <wp:posOffset>114300</wp:posOffset>
                </wp:positionV>
                <wp:extent cx="652780" cy="0"/>
                <wp:effectExtent l="7620" t="6350" r="6350" b="12700"/>
                <wp:wrapTopAndBottom/>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64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4261"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35pt,9pt" to="11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04HQIAAEE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" strokeweight=".18003mm">
                <w10:wrap type="topAndBottom" anchorx="page"/>
              </v:line>
            </w:pict>
          </mc:Fallback>
        </mc:AlternateContent>
      </w:r>
    </w:p>
    <w:p w:rsidR="00EF33D9" w:rsidRDefault="000D3E5C">
      <w:pPr>
        <w:spacing w:before="14" w:line="206" w:lineRule="exact"/>
        <w:ind w:left="107"/>
        <w:rPr>
          <w:sz w:val="17"/>
        </w:rPr>
      </w:pPr>
      <w:r>
        <w:rPr>
          <w:sz w:val="17"/>
        </w:rPr>
        <w:t>(</w:t>
      </w:r>
      <w:r>
        <w:rPr>
          <w:position w:val="6"/>
          <w:sz w:val="9"/>
        </w:rPr>
        <w:t>1</w:t>
      </w:r>
      <w:r>
        <w:rPr>
          <w:sz w:val="17"/>
        </w:rPr>
        <w:t>)   OJ L 176, 30.6.2016, p.</w:t>
      </w:r>
      <w:r>
        <w:rPr>
          <w:spacing w:val="-13"/>
          <w:sz w:val="17"/>
        </w:rPr>
        <w:t xml:space="preserve"> </w:t>
      </w:r>
      <w:r>
        <w:rPr>
          <w:sz w:val="17"/>
        </w:rPr>
        <w:t>21.</w:t>
      </w:r>
    </w:p>
    <w:p w:rsidR="00EF33D9" w:rsidRDefault="000D3E5C">
      <w:pPr>
        <w:spacing w:line="175" w:lineRule="exact"/>
        <w:ind w:left="107"/>
        <w:rPr>
          <w:sz w:val="17"/>
        </w:rPr>
      </w:pPr>
      <w:r>
        <w:rPr>
          <w:sz w:val="17"/>
        </w:rPr>
        <w:t>(</w:t>
      </w:r>
      <w:r>
        <w:rPr>
          <w:position w:val="6"/>
          <w:sz w:val="9"/>
        </w:rPr>
        <w:t>2</w:t>
      </w:r>
      <w:r>
        <w:rPr>
          <w:sz w:val="17"/>
        </w:rPr>
        <w:t>)   OJ L 176, 30.6.2016, p.</w:t>
      </w:r>
      <w:r>
        <w:rPr>
          <w:spacing w:val="-13"/>
          <w:sz w:val="17"/>
        </w:rPr>
        <w:t xml:space="preserve"> </w:t>
      </w:r>
      <w:r>
        <w:rPr>
          <w:sz w:val="17"/>
        </w:rPr>
        <w:t>55.</w:t>
      </w:r>
    </w:p>
    <w:p w:rsidR="00EF33D9" w:rsidRDefault="000D3E5C">
      <w:pPr>
        <w:spacing w:line="175" w:lineRule="exact"/>
        <w:ind w:left="107"/>
        <w:rPr>
          <w:sz w:val="17"/>
        </w:rPr>
      </w:pPr>
      <w:r>
        <w:rPr>
          <w:w w:val="110"/>
          <w:sz w:val="17"/>
        </w:rPr>
        <w:t>(</w:t>
      </w:r>
      <w:r>
        <w:rPr>
          <w:w w:val="110"/>
          <w:position w:val="6"/>
          <w:sz w:val="9"/>
        </w:rPr>
        <w:t>3</w:t>
      </w:r>
      <w:r>
        <w:rPr>
          <w:w w:val="110"/>
          <w:sz w:val="17"/>
        </w:rPr>
        <w:t>)</w:t>
      </w:r>
      <w:r>
        <w:rPr>
          <w:spacing w:val="13"/>
          <w:w w:val="110"/>
          <w:sz w:val="17"/>
        </w:rPr>
        <w:t xml:space="preserve"> </w:t>
      </w:r>
      <w:r>
        <w:rPr>
          <w:w w:val="110"/>
          <w:sz w:val="17"/>
        </w:rPr>
        <w:t>OJ</w:t>
      </w:r>
      <w:r>
        <w:rPr>
          <w:spacing w:val="-25"/>
          <w:w w:val="110"/>
          <w:sz w:val="17"/>
        </w:rPr>
        <w:t xml:space="preserve"> </w:t>
      </w:r>
      <w:r>
        <w:rPr>
          <w:w w:val="110"/>
          <w:sz w:val="17"/>
        </w:rPr>
        <w:t>C</w:t>
      </w:r>
      <w:r>
        <w:rPr>
          <w:spacing w:val="-24"/>
          <w:w w:val="110"/>
          <w:sz w:val="17"/>
        </w:rPr>
        <w:t xml:space="preserve"> </w:t>
      </w:r>
      <w:r>
        <w:rPr>
          <w:w w:val="110"/>
          <w:sz w:val="17"/>
        </w:rPr>
        <w:t>353,</w:t>
      </w:r>
      <w:r>
        <w:rPr>
          <w:spacing w:val="-25"/>
          <w:w w:val="110"/>
          <w:sz w:val="17"/>
        </w:rPr>
        <w:t xml:space="preserve"> </w:t>
      </w:r>
      <w:r>
        <w:rPr>
          <w:w w:val="110"/>
          <w:sz w:val="17"/>
        </w:rPr>
        <w:t>20.10.2017,</w:t>
      </w:r>
      <w:r>
        <w:rPr>
          <w:spacing w:val="-24"/>
          <w:w w:val="110"/>
          <w:sz w:val="17"/>
        </w:rPr>
        <w:t xml:space="preserve"> </w:t>
      </w:r>
      <w:r>
        <w:rPr>
          <w:w w:val="110"/>
          <w:sz w:val="17"/>
        </w:rPr>
        <w:t>p.</w:t>
      </w:r>
      <w:r>
        <w:rPr>
          <w:spacing w:val="-25"/>
          <w:w w:val="110"/>
          <w:sz w:val="17"/>
        </w:rPr>
        <w:t xml:space="preserve"> </w:t>
      </w:r>
      <w:r>
        <w:rPr>
          <w:w w:val="110"/>
          <w:sz w:val="17"/>
        </w:rPr>
        <w:t>19.</w:t>
      </w:r>
    </w:p>
    <w:p w:rsidR="00EF33D9" w:rsidRDefault="000D3E5C">
      <w:pPr>
        <w:spacing w:line="206" w:lineRule="exact"/>
        <w:ind w:left="107"/>
        <w:rPr>
          <w:sz w:val="17"/>
        </w:rPr>
      </w:pPr>
      <w:r>
        <w:rPr>
          <w:w w:val="110"/>
          <w:sz w:val="17"/>
        </w:rPr>
        <w:t>(</w:t>
      </w:r>
      <w:r>
        <w:rPr>
          <w:w w:val="110"/>
          <w:position w:val="6"/>
          <w:sz w:val="9"/>
        </w:rPr>
        <w:t>4</w:t>
      </w:r>
      <w:r>
        <w:rPr>
          <w:w w:val="110"/>
          <w:sz w:val="17"/>
        </w:rPr>
        <w:t>)</w:t>
      </w:r>
      <w:r>
        <w:rPr>
          <w:spacing w:val="13"/>
          <w:w w:val="110"/>
          <w:sz w:val="17"/>
        </w:rPr>
        <w:t xml:space="preserve"> </w:t>
      </w:r>
      <w:r>
        <w:rPr>
          <w:w w:val="110"/>
          <w:sz w:val="17"/>
        </w:rPr>
        <w:t>OJ</w:t>
      </w:r>
      <w:r>
        <w:rPr>
          <w:spacing w:val="-25"/>
          <w:w w:val="110"/>
          <w:sz w:val="17"/>
        </w:rPr>
        <w:t xml:space="preserve"> </w:t>
      </w:r>
      <w:r>
        <w:rPr>
          <w:w w:val="110"/>
          <w:sz w:val="17"/>
        </w:rPr>
        <w:t>C</w:t>
      </w:r>
      <w:r>
        <w:rPr>
          <w:spacing w:val="-24"/>
          <w:w w:val="110"/>
          <w:sz w:val="17"/>
        </w:rPr>
        <w:t xml:space="preserve"> </w:t>
      </w:r>
      <w:r>
        <w:rPr>
          <w:w w:val="110"/>
          <w:sz w:val="17"/>
        </w:rPr>
        <w:t>440,</w:t>
      </w:r>
      <w:r>
        <w:rPr>
          <w:spacing w:val="-25"/>
          <w:w w:val="110"/>
          <w:sz w:val="17"/>
        </w:rPr>
        <w:t xml:space="preserve"> </w:t>
      </w:r>
      <w:r>
        <w:rPr>
          <w:w w:val="110"/>
          <w:sz w:val="17"/>
        </w:rPr>
        <w:t>21.12.2017,</w:t>
      </w:r>
      <w:r>
        <w:rPr>
          <w:spacing w:val="-24"/>
          <w:w w:val="110"/>
          <w:sz w:val="17"/>
        </w:rPr>
        <w:t xml:space="preserve"> </w:t>
      </w:r>
      <w:r>
        <w:rPr>
          <w:w w:val="110"/>
          <w:sz w:val="17"/>
        </w:rPr>
        <w:t>p.</w:t>
      </w:r>
      <w:r>
        <w:rPr>
          <w:spacing w:val="-25"/>
          <w:w w:val="110"/>
          <w:sz w:val="17"/>
        </w:rPr>
        <w:t xml:space="preserve"> </w:t>
      </w:r>
      <w:r>
        <w:rPr>
          <w:w w:val="110"/>
          <w:sz w:val="17"/>
        </w:rPr>
        <w:t>22.</w:t>
      </w:r>
    </w:p>
    <w:p w:rsidR="00EF33D9" w:rsidRDefault="00EF33D9">
      <w:pPr>
        <w:spacing w:line="206" w:lineRule="exact"/>
        <w:rPr>
          <w:sz w:val="17"/>
        </w:rPr>
        <w:sectPr w:rsidR="00EF33D9">
          <w:headerReference w:type="even" r:id="rId7"/>
          <w:headerReference w:type="default" r:id="rId8"/>
          <w:type w:val="continuous"/>
          <w:pgSz w:w="11910" w:h="16840"/>
          <w:pgMar w:top="1380" w:right="1240" w:bottom="280" w:left="1240" w:header="967" w:footer="720" w:gutter="0"/>
          <w:pgNumType w:start="4"/>
          <w:cols w:space="720"/>
        </w:sectPr>
      </w:pPr>
    </w:p>
    <w:p w:rsidR="00EF33D9" w:rsidRDefault="000D3E5C">
      <w:pPr>
        <w:pStyle w:val="a4"/>
        <w:numPr>
          <w:ilvl w:val="0"/>
          <w:numId w:val="4"/>
        </w:numPr>
        <w:tabs>
          <w:tab w:val="left" w:pos="645"/>
        </w:tabs>
        <w:spacing w:before="122" w:line="189" w:lineRule="auto"/>
        <w:ind w:right="105" w:hanging="537"/>
        <w:jc w:val="both"/>
        <w:rPr>
          <w:sz w:val="19"/>
        </w:rPr>
      </w:pPr>
      <w:r>
        <w:rPr>
          <w:w w:val="105"/>
          <w:sz w:val="19"/>
        </w:rPr>
        <w:lastRenderedPageBreak/>
        <w:t xml:space="preserve">According to the complainant, registration is justified as the product concerned is being dumped and subsidised. Significant injury to the Union industry, is being caused by an acceleration of low-priced imports which will undermine the remedial effect of </w:t>
      </w:r>
      <w:r>
        <w:rPr>
          <w:w w:val="105"/>
          <w:sz w:val="19"/>
        </w:rPr>
        <w:t>potential definitive duties by allowing stockpiling ahead of the 2018 selling season.</w:t>
      </w:r>
    </w:p>
    <w:p w:rsidR="00EF33D9" w:rsidRDefault="00EF33D9">
      <w:pPr>
        <w:pStyle w:val="a3"/>
        <w:spacing w:before="4"/>
      </w:pPr>
    </w:p>
    <w:p w:rsidR="00EF33D9" w:rsidRDefault="000D3E5C">
      <w:pPr>
        <w:pStyle w:val="a4"/>
        <w:numPr>
          <w:ilvl w:val="0"/>
          <w:numId w:val="4"/>
        </w:numPr>
        <w:tabs>
          <w:tab w:val="left" w:pos="645"/>
        </w:tabs>
        <w:spacing w:line="192" w:lineRule="auto"/>
        <w:ind w:right="105" w:hanging="537"/>
        <w:jc w:val="both"/>
        <w:rPr>
          <w:sz w:val="19"/>
        </w:rPr>
      </w:pPr>
      <w:r>
        <w:rPr>
          <w:w w:val="105"/>
          <w:sz w:val="19"/>
        </w:rPr>
        <w:t>The Commission examined the request in the light of Article 10(4) of the basic anti-dumping Regulation and Article 16(4) of the basic anti-subsidy</w:t>
      </w:r>
      <w:r>
        <w:rPr>
          <w:spacing w:val="32"/>
          <w:w w:val="105"/>
          <w:sz w:val="19"/>
        </w:rPr>
        <w:t xml:space="preserve"> </w:t>
      </w:r>
      <w:r>
        <w:rPr>
          <w:w w:val="105"/>
          <w:sz w:val="19"/>
        </w:rPr>
        <w:t>Regulation.</w:t>
      </w:r>
    </w:p>
    <w:p w:rsidR="00EF33D9" w:rsidRDefault="00EF33D9">
      <w:pPr>
        <w:pStyle w:val="a3"/>
        <w:spacing w:before="1"/>
      </w:pPr>
    </w:p>
    <w:p w:rsidR="00EF33D9" w:rsidRDefault="000D3E5C">
      <w:pPr>
        <w:pStyle w:val="a4"/>
        <w:numPr>
          <w:ilvl w:val="0"/>
          <w:numId w:val="4"/>
        </w:numPr>
        <w:tabs>
          <w:tab w:val="left" w:pos="645"/>
        </w:tabs>
        <w:spacing w:line="189" w:lineRule="auto"/>
        <w:ind w:right="103" w:hanging="537"/>
        <w:jc w:val="both"/>
        <w:rPr>
          <w:sz w:val="19"/>
        </w:rPr>
      </w:pPr>
      <w:r>
        <w:rPr>
          <w:w w:val="105"/>
          <w:sz w:val="19"/>
        </w:rPr>
        <w:t>With resp</w:t>
      </w:r>
      <w:r>
        <w:rPr>
          <w:w w:val="105"/>
          <w:sz w:val="19"/>
        </w:rPr>
        <w:t>ect to the dumping part of the request, the Commission verified whether the importers were aware, or should have been aware, of the dumping as regards the extent of the dumping and the injury alleged or found. It also analysed whether there was a further s</w:t>
      </w:r>
      <w:r>
        <w:rPr>
          <w:w w:val="105"/>
          <w:sz w:val="19"/>
        </w:rPr>
        <w:t>ubstantial rise in imports which, in the light of its timing and volume and other circumstances, is likely to seriously undermine the remedial effect of the definitive anti-dumping duty</w:t>
      </w:r>
      <w:r>
        <w:rPr>
          <w:spacing w:val="51"/>
          <w:w w:val="105"/>
          <w:sz w:val="19"/>
        </w:rPr>
        <w:t xml:space="preserve"> </w:t>
      </w:r>
      <w:r>
        <w:rPr>
          <w:w w:val="105"/>
          <w:sz w:val="19"/>
        </w:rPr>
        <w:t>to be</w:t>
      </w:r>
      <w:r>
        <w:rPr>
          <w:spacing w:val="8"/>
          <w:w w:val="105"/>
          <w:sz w:val="19"/>
        </w:rPr>
        <w:t xml:space="preserve"> </w:t>
      </w:r>
      <w:r>
        <w:rPr>
          <w:w w:val="105"/>
          <w:sz w:val="19"/>
        </w:rPr>
        <w:t>applied.</w:t>
      </w:r>
    </w:p>
    <w:p w:rsidR="00EF33D9" w:rsidRDefault="00EF33D9">
      <w:pPr>
        <w:pStyle w:val="a3"/>
        <w:spacing w:before="8"/>
      </w:pPr>
    </w:p>
    <w:p w:rsidR="00EF33D9" w:rsidRDefault="000D3E5C">
      <w:pPr>
        <w:pStyle w:val="a4"/>
        <w:numPr>
          <w:ilvl w:val="0"/>
          <w:numId w:val="4"/>
        </w:numPr>
        <w:tabs>
          <w:tab w:val="left" w:pos="645"/>
        </w:tabs>
        <w:spacing w:line="189" w:lineRule="auto"/>
        <w:ind w:hanging="537"/>
        <w:jc w:val="both"/>
        <w:rPr>
          <w:sz w:val="19"/>
        </w:rPr>
      </w:pPr>
      <w:r>
        <w:rPr>
          <w:w w:val="105"/>
          <w:sz w:val="19"/>
        </w:rPr>
        <w:t>With respect to the subsidy part of the request, the C</w:t>
      </w:r>
      <w:r>
        <w:rPr>
          <w:w w:val="105"/>
          <w:sz w:val="19"/>
        </w:rPr>
        <w:t>ommission verified whether there are critical circumstances where, for  the subsidised product in question, injury which is difficult to repair  is caused by massive imports in</w:t>
      </w:r>
      <w:r>
        <w:rPr>
          <w:spacing w:val="51"/>
          <w:w w:val="105"/>
          <w:sz w:val="19"/>
        </w:rPr>
        <w:t xml:space="preserve"> </w:t>
      </w:r>
      <w:r>
        <w:rPr>
          <w:w w:val="105"/>
          <w:sz w:val="19"/>
        </w:rPr>
        <w:t>a relatively short period of a product benefitting from countervailable subsidi</w:t>
      </w:r>
      <w:r>
        <w:rPr>
          <w:w w:val="105"/>
          <w:sz w:val="19"/>
        </w:rPr>
        <w:t>es and whether it is deemed necessary to assess countervailing duties retroactively on those imports in order to preclude the recurrence of</w:t>
      </w:r>
      <w:r>
        <w:rPr>
          <w:spacing w:val="51"/>
          <w:w w:val="105"/>
          <w:sz w:val="19"/>
        </w:rPr>
        <w:t xml:space="preserve"> </w:t>
      </w:r>
      <w:r>
        <w:rPr>
          <w:w w:val="105"/>
          <w:sz w:val="19"/>
        </w:rPr>
        <w:t>such</w:t>
      </w:r>
      <w:r>
        <w:rPr>
          <w:spacing w:val="2"/>
          <w:w w:val="105"/>
          <w:sz w:val="19"/>
        </w:rPr>
        <w:t xml:space="preserve"> </w:t>
      </w:r>
      <w:r>
        <w:rPr>
          <w:w w:val="105"/>
          <w:sz w:val="19"/>
        </w:rPr>
        <w:t>injury.</w:t>
      </w:r>
    </w:p>
    <w:p w:rsidR="00EF33D9" w:rsidRDefault="00EF33D9">
      <w:pPr>
        <w:pStyle w:val="a3"/>
        <w:spacing w:before="4"/>
        <w:rPr>
          <w:sz w:val="26"/>
        </w:rPr>
      </w:pPr>
    </w:p>
    <w:p w:rsidR="00EF33D9" w:rsidRDefault="000D3E5C">
      <w:pPr>
        <w:pStyle w:val="1"/>
        <w:numPr>
          <w:ilvl w:val="1"/>
          <w:numId w:val="2"/>
        </w:numPr>
        <w:tabs>
          <w:tab w:val="left" w:pos="1040"/>
        </w:tabs>
      </w:pPr>
      <w:r>
        <w:t>Awareness of the importers of the dumping, the extent thereof and the alleged</w:t>
      </w:r>
      <w:r>
        <w:rPr>
          <w:spacing w:val="-23"/>
        </w:rPr>
        <w:t xml:space="preserve"> </w:t>
      </w:r>
      <w:r>
        <w:t>injury</w:t>
      </w:r>
    </w:p>
    <w:p w:rsidR="00EF33D9" w:rsidRDefault="00EF33D9">
      <w:pPr>
        <w:pStyle w:val="a3"/>
        <w:rPr>
          <w:rFonts w:ascii="Book Antiqua"/>
          <w:b/>
          <w:sz w:val="21"/>
        </w:rPr>
      </w:pPr>
    </w:p>
    <w:p w:rsidR="00EF33D9" w:rsidRDefault="000D3E5C">
      <w:pPr>
        <w:pStyle w:val="a4"/>
        <w:numPr>
          <w:ilvl w:val="0"/>
          <w:numId w:val="4"/>
        </w:numPr>
        <w:tabs>
          <w:tab w:val="left" w:pos="645"/>
        </w:tabs>
        <w:spacing w:line="189" w:lineRule="auto"/>
        <w:ind w:hanging="537"/>
        <w:jc w:val="both"/>
        <w:rPr>
          <w:sz w:val="19"/>
        </w:rPr>
      </w:pPr>
      <w:r>
        <w:rPr>
          <w:w w:val="105"/>
          <w:sz w:val="19"/>
        </w:rPr>
        <w:t>As regards dumping, at this stage, the Commission has at its disposal sufficient evidence that imports of the product concerned from the PRC are being dumped. In particular, the complainant provided evidence on the normal value based on domestic prices and</w:t>
      </w:r>
      <w:r>
        <w:rPr>
          <w:w w:val="105"/>
          <w:sz w:val="19"/>
        </w:rPr>
        <w:t xml:space="preserve"> based on the choice of Switzerland according to Article 2(7) of the basic anti-dumping</w:t>
      </w:r>
      <w:r>
        <w:rPr>
          <w:spacing w:val="9"/>
          <w:w w:val="105"/>
          <w:sz w:val="19"/>
        </w:rPr>
        <w:t xml:space="preserve"> </w:t>
      </w:r>
      <w:r>
        <w:rPr>
          <w:w w:val="105"/>
          <w:sz w:val="19"/>
        </w:rPr>
        <w:t>Regulation.</w:t>
      </w:r>
    </w:p>
    <w:p w:rsidR="00EF33D9" w:rsidRDefault="00EF33D9">
      <w:pPr>
        <w:pStyle w:val="a3"/>
        <w:spacing w:before="4"/>
      </w:pPr>
    </w:p>
    <w:p w:rsidR="00EF33D9" w:rsidRDefault="000D3E5C">
      <w:pPr>
        <w:pStyle w:val="a4"/>
        <w:numPr>
          <w:ilvl w:val="0"/>
          <w:numId w:val="4"/>
        </w:numPr>
        <w:tabs>
          <w:tab w:val="left" w:pos="645"/>
        </w:tabs>
        <w:spacing w:line="192" w:lineRule="auto"/>
        <w:ind w:right="105" w:hanging="537"/>
        <w:jc w:val="both"/>
        <w:rPr>
          <w:sz w:val="19"/>
        </w:rPr>
      </w:pPr>
      <w:r>
        <w:rPr>
          <w:w w:val="105"/>
          <w:sz w:val="19"/>
        </w:rPr>
        <w:t>The evidence of dumping is based on a comparison of the normal value thus established with the export price (at ex-works level) of the product concerned wh</w:t>
      </w:r>
      <w:r>
        <w:rPr>
          <w:w w:val="105"/>
          <w:sz w:val="19"/>
        </w:rPr>
        <w:t>en sold for export to the Union. As a whole, and given the extent of the alleged dumping margins ranging from 193 % to 430 %, this evidence provides sufficient support at this   stage that the exporting producers practice</w:t>
      </w:r>
      <w:r>
        <w:rPr>
          <w:spacing w:val="31"/>
          <w:w w:val="105"/>
          <w:sz w:val="19"/>
        </w:rPr>
        <w:t xml:space="preserve"> </w:t>
      </w:r>
      <w:r>
        <w:rPr>
          <w:w w:val="105"/>
          <w:sz w:val="19"/>
        </w:rPr>
        <w:t>dumping.</w:t>
      </w:r>
    </w:p>
    <w:p w:rsidR="00EF33D9" w:rsidRDefault="00EF33D9">
      <w:pPr>
        <w:pStyle w:val="a3"/>
        <w:rPr>
          <w:sz w:val="16"/>
        </w:rPr>
      </w:pPr>
    </w:p>
    <w:p w:rsidR="00EF33D9" w:rsidRDefault="000D3E5C">
      <w:pPr>
        <w:pStyle w:val="a4"/>
        <w:numPr>
          <w:ilvl w:val="0"/>
          <w:numId w:val="4"/>
        </w:numPr>
        <w:tabs>
          <w:tab w:val="left" w:pos="644"/>
          <w:tab w:val="left" w:pos="645"/>
        </w:tabs>
        <w:ind w:right="0" w:hanging="537"/>
        <w:rPr>
          <w:sz w:val="19"/>
        </w:rPr>
      </w:pPr>
      <w:r>
        <w:rPr>
          <w:w w:val="105"/>
          <w:sz w:val="19"/>
        </w:rPr>
        <w:t>That</w:t>
      </w:r>
      <w:r>
        <w:rPr>
          <w:spacing w:val="8"/>
          <w:w w:val="105"/>
          <w:sz w:val="19"/>
        </w:rPr>
        <w:t xml:space="preserve"> </w:t>
      </w:r>
      <w:r>
        <w:rPr>
          <w:w w:val="105"/>
          <w:sz w:val="19"/>
        </w:rPr>
        <w:t>information</w:t>
      </w:r>
      <w:r>
        <w:rPr>
          <w:spacing w:val="7"/>
          <w:w w:val="105"/>
          <w:sz w:val="19"/>
        </w:rPr>
        <w:t xml:space="preserve"> </w:t>
      </w:r>
      <w:r>
        <w:rPr>
          <w:w w:val="105"/>
          <w:sz w:val="19"/>
        </w:rPr>
        <w:t>was</w:t>
      </w:r>
      <w:r>
        <w:rPr>
          <w:spacing w:val="9"/>
          <w:w w:val="105"/>
          <w:sz w:val="19"/>
        </w:rPr>
        <w:t xml:space="preserve"> </w:t>
      </w:r>
      <w:r>
        <w:rPr>
          <w:w w:val="105"/>
          <w:sz w:val="19"/>
        </w:rPr>
        <w:t>contained</w:t>
      </w:r>
      <w:r>
        <w:rPr>
          <w:spacing w:val="9"/>
          <w:w w:val="105"/>
          <w:sz w:val="19"/>
        </w:rPr>
        <w:t xml:space="preserve"> </w:t>
      </w:r>
      <w:r>
        <w:rPr>
          <w:w w:val="105"/>
          <w:sz w:val="19"/>
        </w:rPr>
        <w:t>in</w:t>
      </w:r>
      <w:r>
        <w:rPr>
          <w:spacing w:val="9"/>
          <w:w w:val="105"/>
          <w:sz w:val="19"/>
        </w:rPr>
        <w:t xml:space="preserve"> </w:t>
      </w:r>
      <w:r>
        <w:rPr>
          <w:w w:val="105"/>
          <w:sz w:val="19"/>
        </w:rPr>
        <w:t>the</w:t>
      </w:r>
      <w:r>
        <w:rPr>
          <w:spacing w:val="10"/>
          <w:w w:val="105"/>
          <w:sz w:val="19"/>
        </w:rPr>
        <w:t xml:space="preserve"> </w:t>
      </w:r>
      <w:r>
        <w:rPr>
          <w:w w:val="105"/>
          <w:sz w:val="19"/>
        </w:rPr>
        <w:t>notice</w:t>
      </w:r>
      <w:r>
        <w:rPr>
          <w:spacing w:val="10"/>
          <w:w w:val="105"/>
          <w:sz w:val="19"/>
        </w:rPr>
        <w:t xml:space="preserve"> </w:t>
      </w:r>
      <w:r>
        <w:rPr>
          <w:w w:val="105"/>
          <w:sz w:val="19"/>
        </w:rPr>
        <w:t>of</w:t>
      </w:r>
      <w:r>
        <w:rPr>
          <w:spacing w:val="11"/>
          <w:w w:val="105"/>
          <w:sz w:val="19"/>
        </w:rPr>
        <w:t xml:space="preserve"> </w:t>
      </w:r>
      <w:r>
        <w:rPr>
          <w:w w:val="105"/>
          <w:sz w:val="19"/>
        </w:rPr>
        <w:t>initiation</w:t>
      </w:r>
      <w:r>
        <w:rPr>
          <w:spacing w:val="9"/>
          <w:w w:val="105"/>
          <w:sz w:val="19"/>
        </w:rPr>
        <w:t xml:space="preserve"> </w:t>
      </w:r>
      <w:r>
        <w:rPr>
          <w:w w:val="105"/>
          <w:sz w:val="19"/>
        </w:rPr>
        <w:t>for</w:t>
      </w:r>
      <w:r>
        <w:rPr>
          <w:spacing w:val="16"/>
          <w:w w:val="105"/>
          <w:sz w:val="19"/>
        </w:rPr>
        <w:t xml:space="preserve"> </w:t>
      </w:r>
      <w:r>
        <w:rPr>
          <w:w w:val="105"/>
          <w:sz w:val="19"/>
        </w:rPr>
        <w:t>this</w:t>
      </w:r>
      <w:r>
        <w:rPr>
          <w:spacing w:val="8"/>
          <w:w w:val="105"/>
          <w:sz w:val="19"/>
        </w:rPr>
        <w:t xml:space="preserve"> </w:t>
      </w:r>
      <w:r>
        <w:rPr>
          <w:w w:val="105"/>
          <w:sz w:val="19"/>
        </w:rPr>
        <w:t>proceeding</w:t>
      </w:r>
      <w:r>
        <w:rPr>
          <w:spacing w:val="8"/>
          <w:w w:val="105"/>
          <w:sz w:val="19"/>
        </w:rPr>
        <w:t xml:space="preserve"> </w:t>
      </w:r>
      <w:r>
        <w:rPr>
          <w:w w:val="105"/>
          <w:sz w:val="19"/>
        </w:rPr>
        <w:t>published</w:t>
      </w:r>
      <w:r>
        <w:rPr>
          <w:spacing w:val="10"/>
          <w:w w:val="105"/>
          <w:sz w:val="19"/>
        </w:rPr>
        <w:t xml:space="preserve"> </w:t>
      </w:r>
      <w:r>
        <w:rPr>
          <w:w w:val="105"/>
          <w:sz w:val="19"/>
        </w:rPr>
        <w:t>on</w:t>
      </w:r>
      <w:r>
        <w:rPr>
          <w:spacing w:val="8"/>
          <w:w w:val="105"/>
          <w:sz w:val="19"/>
        </w:rPr>
        <w:t xml:space="preserve"> </w:t>
      </w:r>
      <w:r>
        <w:rPr>
          <w:w w:val="105"/>
          <w:sz w:val="19"/>
        </w:rPr>
        <w:t>20</w:t>
      </w:r>
      <w:r>
        <w:rPr>
          <w:spacing w:val="9"/>
          <w:w w:val="105"/>
          <w:sz w:val="19"/>
        </w:rPr>
        <w:t xml:space="preserve"> </w:t>
      </w:r>
      <w:r>
        <w:rPr>
          <w:w w:val="105"/>
          <w:sz w:val="19"/>
        </w:rPr>
        <w:t>October</w:t>
      </w:r>
      <w:r>
        <w:rPr>
          <w:spacing w:val="6"/>
          <w:w w:val="105"/>
          <w:sz w:val="19"/>
        </w:rPr>
        <w:t xml:space="preserve"> </w:t>
      </w:r>
      <w:r>
        <w:rPr>
          <w:w w:val="105"/>
          <w:sz w:val="19"/>
        </w:rPr>
        <w:t>2017.</w:t>
      </w:r>
    </w:p>
    <w:p w:rsidR="00EF33D9" w:rsidRDefault="00EF33D9">
      <w:pPr>
        <w:pStyle w:val="a3"/>
        <w:spacing w:before="1"/>
        <w:rPr>
          <w:sz w:val="18"/>
        </w:rPr>
      </w:pPr>
    </w:p>
    <w:p w:rsidR="00EF33D9" w:rsidRDefault="000D3E5C">
      <w:pPr>
        <w:pStyle w:val="a4"/>
        <w:numPr>
          <w:ilvl w:val="0"/>
          <w:numId w:val="4"/>
        </w:numPr>
        <w:tabs>
          <w:tab w:val="left" w:pos="645"/>
        </w:tabs>
        <w:spacing w:line="189" w:lineRule="auto"/>
        <w:ind w:right="103" w:hanging="537"/>
        <w:jc w:val="both"/>
        <w:rPr>
          <w:sz w:val="19"/>
        </w:rPr>
      </w:pPr>
      <w:r>
        <w:rPr>
          <w:w w:val="105"/>
          <w:sz w:val="19"/>
        </w:rPr>
        <w:t>Giant, an exporting producer with a related importer, claimed that the initiation of an anti-dumping investigation was not sufficient to establish awareness of</w:t>
      </w:r>
      <w:r>
        <w:rPr>
          <w:spacing w:val="32"/>
          <w:w w:val="105"/>
          <w:sz w:val="19"/>
        </w:rPr>
        <w:t xml:space="preserve"> </w:t>
      </w:r>
      <w:r>
        <w:rPr>
          <w:w w:val="105"/>
          <w:sz w:val="19"/>
        </w:rPr>
        <w:t>dumping</w:t>
      </w:r>
      <w:r>
        <w:rPr>
          <w:w w:val="105"/>
          <w:sz w:val="19"/>
        </w:rPr>
        <w:t>.</w:t>
      </w:r>
    </w:p>
    <w:p w:rsidR="00EF33D9" w:rsidRDefault="00EF33D9">
      <w:pPr>
        <w:pStyle w:val="a3"/>
        <w:spacing w:before="5"/>
      </w:pPr>
    </w:p>
    <w:p w:rsidR="00EF33D9" w:rsidRDefault="000D3E5C">
      <w:pPr>
        <w:pStyle w:val="a4"/>
        <w:numPr>
          <w:ilvl w:val="0"/>
          <w:numId w:val="4"/>
        </w:numPr>
        <w:tabs>
          <w:tab w:val="left" w:pos="645"/>
        </w:tabs>
        <w:spacing w:line="189" w:lineRule="auto"/>
        <w:ind w:hanging="537"/>
        <w:jc w:val="both"/>
        <w:rPr>
          <w:sz w:val="19"/>
        </w:rPr>
      </w:pPr>
      <w:r>
        <w:rPr>
          <w:w w:val="105"/>
          <w:sz w:val="19"/>
        </w:rPr>
        <w:t xml:space="preserve">By its publication in the </w:t>
      </w:r>
      <w:r>
        <w:rPr>
          <w:rFonts w:ascii="Cambria"/>
          <w:i/>
          <w:w w:val="105"/>
          <w:sz w:val="19"/>
        </w:rPr>
        <w:t>Official Journal of the European Union</w:t>
      </w:r>
      <w:r>
        <w:rPr>
          <w:w w:val="105"/>
          <w:sz w:val="19"/>
        </w:rPr>
        <w:t>, the notice of initiation is a public document accessible to all importers. Furthermore, as interested parties in the investigation, importers have access to the non-confidential version o</w:t>
      </w:r>
      <w:r>
        <w:rPr>
          <w:w w:val="105"/>
          <w:sz w:val="19"/>
        </w:rPr>
        <w:t>f the complaint. Therefore, the Commission considered that the importers were aware, or should have been aware, of the alleged dumping practices, the extent thereof and the alleged injury at the   latest at that</w:t>
      </w:r>
      <w:r>
        <w:rPr>
          <w:spacing w:val="17"/>
          <w:w w:val="105"/>
          <w:sz w:val="19"/>
        </w:rPr>
        <w:t xml:space="preserve"> </w:t>
      </w:r>
      <w:r>
        <w:rPr>
          <w:w w:val="105"/>
          <w:sz w:val="19"/>
        </w:rPr>
        <w:t>moment.</w:t>
      </w:r>
    </w:p>
    <w:p w:rsidR="00EF33D9" w:rsidRDefault="00EF33D9">
      <w:pPr>
        <w:pStyle w:val="a3"/>
        <w:spacing w:before="5"/>
      </w:pPr>
    </w:p>
    <w:p w:rsidR="00EF33D9" w:rsidRDefault="000D3E5C">
      <w:pPr>
        <w:pStyle w:val="a4"/>
        <w:numPr>
          <w:ilvl w:val="0"/>
          <w:numId w:val="4"/>
        </w:numPr>
        <w:tabs>
          <w:tab w:val="left" w:pos="645"/>
        </w:tabs>
        <w:spacing w:line="192" w:lineRule="auto"/>
        <w:ind w:right="103" w:hanging="537"/>
        <w:jc w:val="both"/>
        <w:rPr>
          <w:sz w:val="19"/>
        </w:rPr>
      </w:pPr>
      <w:r>
        <w:rPr>
          <w:w w:val="105"/>
          <w:sz w:val="19"/>
        </w:rPr>
        <w:t>The same interested party claimed that an importer could not be expected to be aware of the  application of</w:t>
      </w:r>
      <w:r>
        <w:rPr>
          <w:spacing w:val="51"/>
          <w:w w:val="105"/>
          <w:sz w:val="19"/>
        </w:rPr>
        <w:t xml:space="preserve"> </w:t>
      </w:r>
      <w:r>
        <w:rPr>
          <w:w w:val="105"/>
          <w:sz w:val="19"/>
        </w:rPr>
        <w:t>Article 2(7) of the basic anti-dumping Regulation and even less able to anticipate the normal value against which Chinese export prices into the Uni</w:t>
      </w:r>
      <w:r>
        <w:rPr>
          <w:w w:val="105"/>
          <w:sz w:val="19"/>
        </w:rPr>
        <w:t>on should be</w:t>
      </w:r>
      <w:r>
        <w:rPr>
          <w:spacing w:val="39"/>
          <w:w w:val="105"/>
          <w:sz w:val="19"/>
        </w:rPr>
        <w:t xml:space="preserve"> </w:t>
      </w:r>
      <w:r>
        <w:rPr>
          <w:w w:val="105"/>
          <w:sz w:val="19"/>
        </w:rPr>
        <w:t>assessed.</w:t>
      </w:r>
    </w:p>
    <w:p w:rsidR="00EF33D9" w:rsidRDefault="00EF33D9">
      <w:pPr>
        <w:pStyle w:val="a3"/>
      </w:pPr>
    </w:p>
    <w:p w:rsidR="00EF33D9" w:rsidRDefault="000D3E5C">
      <w:pPr>
        <w:pStyle w:val="a4"/>
        <w:numPr>
          <w:ilvl w:val="0"/>
          <w:numId w:val="4"/>
        </w:numPr>
        <w:tabs>
          <w:tab w:val="left" w:pos="645"/>
        </w:tabs>
        <w:spacing w:line="189" w:lineRule="auto"/>
        <w:ind w:right="105" w:hanging="537"/>
        <w:jc w:val="both"/>
        <w:rPr>
          <w:sz w:val="19"/>
        </w:rPr>
      </w:pPr>
      <w:r>
        <w:rPr>
          <w:w w:val="105"/>
          <w:sz w:val="19"/>
        </w:rPr>
        <w:t>The Commission noted that the application of Article 2(7) of the basic anti-dumping Regulation was mentioned</w:t>
      </w:r>
      <w:r>
        <w:rPr>
          <w:spacing w:val="51"/>
          <w:w w:val="105"/>
          <w:sz w:val="19"/>
        </w:rPr>
        <w:t xml:space="preserve"> </w:t>
      </w:r>
      <w:r>
        <w:rPr>
          <w:w w:val="105"/>
          <w:sz w:val="19"/>
        </w:rPr>
        <w:t>in</w:t>
      </w:r>
      <w:r>
        <w:rPr>
          <w:spacing w:val="4"/>
          <w:w w:val="105"/>
          <w:sz w:val="19"/>
        </w:rPr>
        <w:t xml:space="preserve"> </w:t>
      </w:r>
      <w:r>
        <w:rPr>
          <w:w w:val="105"/>
          <w:sz w:val="19"/>
        </w:rPr>
        <w:t>the</w:t>
      </w:r>
      <w:r>
        <w:rPr>
          <w:spacing w:val="7"/>
          <w:w w:val="105"/>
          <w:sz w:val="19"/>
        </w:rPr>
        <w:t xml:space="preserve"> </w:t>
      </w:r>
      <w:r>
        <w:rPr>
          <w:w w:val="105"/>
          <w:sz w:val="19"/>
        </w:rPr>
        <w:t>complaint</w:t>
      </w:r>
      <w:r>
        <w:rPr>
          <w:spacing w:val="5"/>
          <w:w w:val="105"/>
          <w:sz w:val="19"/>
        </w:rPr>
        <w:t xml:space="preserve"> </w:t>
      </w:r>
      <w:r>
        <w:rPr>
          <w:w w:val="105"/>
          <w:sz w:val="19"/>
        </w:rPr>
        <w:t>and</w:t>
      </w:r>
      <w:r>
        <w:rPr>
          <w:spacing w:val="6"/>
          <w:w w:val="105"/>
          <w:sz w:val="19"/>
        </w:rPr>
        <w:t xml:space="preserve"> </w:t>
      </w:r>
      <w:r>
        <w:rPr>
          <w:w w:val="105"/>
          <w:sz w:val="19"/>
        </w:rPr>
        <w:t>also</w:t>
      </w:r>
      <w:r>
        <w:rPr>
          <w:spacing w:val="6"/>
          <w:w w:val="105"/>
          <w:sz w:val="19"/>
        </w:rPr>
        <w:t xml:space="preserve"> </w:t>
      </w:r>
      <w:r>
        <w:rPr>
          <w:w w:val="105"/>
          <w:sz w:val="19"/>
        </w:rPr>
        <w:t>referred</w:t>
      </w:r>
      <w:r>
        <w:rPr>
          <w:spacing w:val="4"/>
          <w:w w:val="105"/>
          <w:sz w:val="19"/>
        </w:rPr>
        <w:t xml:space="preserve"> </w:t>
      </w:r>
      <w:r>
        <w:rPr>
          <w:w w:val="105"/>
          <w:sz w:val="19"/>
        </w:rPr>
        <w:t>to</w:t>
      </w:r>
      <w:r>
        <w:rPr>
          <w:spacing w:val="4"/>
          <w:w w:val="105"/>
          <w:sz w:val="19"/>
        </w:rPr>
        <w:t xml:space="preserve"> </w:t>
      </w:r>
      <w:r>
        <w:rPr>
          <w:w w:val="105"/>
          <w:sz w:val="19"/>
        </w:rPr>
        <w:t>it</w:t>
      </w:r>
      <w:r>
        <w:rPr>
          <w:spacing w:val="6"/>
          <w:w w:val="105"/>
          <w:sz w:val="19"/>
        </w:rPr>
        <w:t xml:space="preserve"> </w:t>
      </w:r>
      <w:r>
        <w:rPr>
          <w:w w:val="105"/>
          <w:sz w:val="19"/>
        </w:rPr>
        <w:t>in</w:t>
      </w:r>
      <w:r>
        <w:rPr>
          <w:spacing w:val="6"/>
          <w:w w:val="105"/>
          <w:sz w:val="19"/>
        </w:rPr>
        <w:t xml:space="preserve"> </w:t>
      </w:r>
      <w:r>
        <w:rPr>
          <w:w w:val="105"/>
          <w:sz w:val="19"/>
        </w:rPr>
        <w:t>the</w:t>
      </w:r>
      <w:r>
        <w:rPr>
          <w:spacing w:val="6"/>
          <w:w w:val="105"/>
          <w:sz w:val="19"/>
        </w:rPr>
        <w:t xml:space="preserve"> </w:t>
      </w:r>
      <w:r>
        <w:rPr>
          <w:w w:val="105"/>
          <w:sz w:val="19"/>
        </w:rPr>
        <w:t>notice</w:t>
      </w:r>
      <w:r>
        <w:rPr>
          <w:spacing w:val="7"/>
          <w:w w:val="105"/>
          <w:sz w:val="19"/>
        </w:rPr>
        <w:t xml:space="preserve"> </w:t>
      </w:r>
      <w:r>
        <w:rPr>
          <w:w w:val="105"/>
          <w:sz w:val="19"/>
        </w:rPr>
        <w:t>of</w:t>
      </w:r>
      <w:r>
        <w:rPr>
          <w:spacing w:val="7"/>
          <w:w w:val="105"/>
          <w:sz w:val="19"/>
        </w:rPr>
        <w:t xml:space="preserve"> </w:t>
      </w:r>
      <w:r>
        <w:rPr>
          <w:w w:val="105"/>
          <w:sz w:val="19"/>
        </w:rPr>
        <w:t>initiation.</w:t>
      </w:r>
    </w:p>
    <w:p w:rsidR="00EF33D9" w:rsidRDefault="00EF33D9">
      <w:pPr>
        <w:pStyle w:val="a3"/>
        <w:spacing w:before="2"/>
      </w:pPr>
    </w:p>
    <w:p w:rsidR="00EF33D9" w:rsidRDefault="000D3E5C">
      <w:pPr>
        <w:pStyle w:val="a4"/>
        <w:numPr>
          <w:ilvl w:val="0"/>
          <w:numId w:val="4"/>
        </w:numPr>
        <w:tabs>
          <w:tab w:val="left" w:pos="645"/>
        </w:tabs>
        <w:spacing w:line="192" w:lineRule="auto"/>
        <w:ind w:hanging="537"/>
        <w:jc w:val="both"/>
        <w:rPr>
          <w:sz w:val="19"/>
        </w:rPr>
      </w:pPr>
      <w:r>
        <w:rPr>
          <w:w w:val="105"/>
          <w:sz w:val="19"/>
        </w:rPr>
        <w:t>The complaint also provided sufficient evidence of a</w:t>
      </w:r>
      <w:r>
        <w:rPr>
          <w:w w:val="105"/>
          <w:sz w:val="19"/>
        </w:rPr>
        <w:t>lledged injury showing a steep decline of the market share of the Union Industry from 42,5 % in 2014 to 28,6 % in the period used for  the complaint, depressed and    declining levels of profitability from 3,4 % of turnover in 2014 to 2,1 % in the period u</w:t>
      </w:r>
      <w:r>
        <w:rPr>
          <w:w w:val="105"/>
          <w:sz w:val="19"/>
        </w:rPr>
        <w:t>sed for the complaint as well as underselling calculations ranging from 153 % to 206</w:t>
      </w:r>
      <w:r>
        <w:rPr>
          <w:spacing w:val="45"/>
          <w:w w:val="105"/>
          <w:sz w:val="19"/>
        </w:rPr>
        <w:t xml:space="preserve"> </w:t>
      </w:r>
      <w:r>
        <w:rPr>
          <w:w w:val="105"/>
          <w:sz w:val="19"/>
        </w:rPr>
        <w:t>%.</w:t>
      </w:r>
    </w:p>
    <w:p w:rsidR="00EF33D9" w:rsidRDefault="00EF33D9">
      <w:pPr>
        <w:pStyle w:val="a3"/>
        <w:spacing w:before="12"/>
        <w:rPr>
          <w:sz w:val="18"/>
        </w:rPr>
      </w:pPr>
    </w:p>
    <w:p w:rsidR="00EF33D9" w:rsidRDefault="000D3E5C">
      <w:pPr>
        <w:pStyle w:val="a4"/>
        <w:numPr>
          <w:ilvl w:val="0"/>
          <w:numId w:val="4"/>
        </w:numPr>
        <w:tabs>
          <w:tab w:val="left" w:pos="645"/>
        </w:tabs>
        <w:spacing w:line="189" w:lineRule="auto"/>
        <w:ind w:right="105" w:hanging="537"/>
        <w:jc w:val="both"/>
        <w:rPr>
          <w:sz w:val="19"/>
        </w:rPr>
      </w:pPr>
      <w:r>
        <w:rPr>
          <w:w w:val="105"/>
          <w:sz w:val="19"/>
        </w:rPr>
        <w:t>The Commission thus concluded that the first criterion for registration was met with respect to the dumping part of the</w:t>
      </w:r>
      <w:r>
        <w:rPr>
          <w:spacing w:val="15"/>
          <w:w w:val="105"/>
          <w:sz w:val="19"/>
        </w:rPr>
        <w:t xml:space="preserve"> </w:t>
      </w:r>
      <w:r>
        <w:rPr>
          <w:w w:val="105"/>
          <w:sz w:val="19"/>
        </w:rPr>
        <w:t>request.</w:t>
      </w:r>
    </w:p>
    <w:p w:rsidR="00EF33D9" w:rsidRDefault="00EF33D9">
      <w:pPr>
        <w:pStyle w:val="a3"/>
        <w:rPr>
          <w:sz w:val="26"/>
        </w:rPr>
      </w:pPr>
    </w:p>
    <w:p w:rsidR="00EF33D9" w:rsidRDefault="000D3E5C">
      <w:pPr>
        <w:pStyle w:val="1"/>
        <w:numPr>
          <w:ilvl w:val="1"/>
          <w:numId w:val="2"/>
        </w:numPr>
        <w:tabs>
          <w:tab w:val="left" w:pos="1040"/>
        </w:tabs>
      </w:pPr>
      <w:r>
        <w:t>Further substantial rise in</w:t>
      </w:r>
      <w:r>
        <w:rPr>
          <w:spacing w:val="33"/>
        </w:rPr>
        <w:t xml:space="preserve"> </w:t>
      </w:r>
      <w:r>
        <w:t>imports</w:t>
      </w:r>
    </w:p>
    <w:p w:rsidR="00EF33D9" w:rsidRDefault="00EF33D9">
      <w:pPr>
        <w:pStyle w:val="a3"/>
        <w:spacing w:before="10"/>
        <w:rPr>
          <w:rFonts w:ascii="Book Antiqua"/>
          <w:b/>
          <w:sz w:val="20"/>
        </w:rPr>
      </w:pPr>
    </w:p>
    <w:p w:rsidR="00EF33D9" w:rsidRDefault="000D3E5C">
      <w:pPr>
        <w:pStyle w:val="a4"/>
        <w:numPr>
          <w:ilvl w:val="0"/>
          <w:numId w:val="4"/>
        </w:numPr>
        <w:tabs>
          <w:tab w:val="left" w:pos="645"/>
        </w:tabs>
        <w:spacing w:line="192" w:lineRule="auto"/>
        <w:ind w:right="105" w:hanging="537"/>
        <w:jc w:val="both"/>
        <w:rPr>
          <w:sz w:val="19"/>
        </w:rPr>
      </w:pPr>
      <w:r>
        <w:rPr>
          <w:w w:val="105"/>
          <w:sz w:val="19"/>
        </w:rPr>
        <w:t xml:space="preserve">Eurostat data do not allow a full analysis of the evolution of imports of electric bicycles into the Union. Indeed, while the investigation period starts in October 2016, an estimated 99 % of imports of electric bicycles were classified until January 2017 </w:t>
      </w:r>
      <w:r>
        <w:rPr>
          <w:w w:val="105"/>
          <w:sz w:val="19"/>
        </w:rPr>
        <w:t>under a CN code which covered other</w:t>
      </w:r>
      <w:r>
        <w:rPr>
          <w:spacing w:val="7"/>
          <w:w w:val="105"/>
          <w:sz w:val="19"/>
        </w:rPr>
        <w:t xml:space="preserve"> </w:t>
      </w:r>
      <w:r>
        <w:rPr>
          <w:w w:val="105"/>
          <w:sz w:val="19"/>
        </w:rPr>
        <w:t>products.</w:t>
      </w:r>
    </w:p>
    <w:p w:rsidR="00EF33D9" w:rsidRDefault="00EF33D9">
      <w:pPr>
        <w:spacing w:line="192" w:lineRule="auto"/>
        <w:jc w:val="both"/>
        <w:rPr>
          <w:sz w:val="19"/>
        </w:rPr>
        <w:sectPr w:rsidR="00EF33D9">
          <w:pgSz w:w="11910" w:h="16840"/>
          <w:pgMar w:top="1380" w:right="1240" w:bottom="280" w:left="1240" w:header="967" w:footer="0" w:gutter="0"/>
          <w:cols w:space="720"/>
        </w:sectPr>
      </w:pPr>
    </w:p>
    <w:p w:rsidR="00EF33D9" w:rsidRDefault="000D3E5C">
      <w:pPr>
        <w:pStyle w:val="a4"/>
        <w:numPr>
          <w:ilvl w:val="0"/>
          <w:numId w:val="4"/>
        </w:numPr>
        <w:tabs>
          <w:tab w:val="left" w:pos="645"/>
        </w:tabs>
        <w:spacing w:before="122" w:line="189" w:lineRule="auto"/>
        <w:ind w:right="102" w:hanging="537"/>
        <w:jc w:val="both"/>
        <w:rPr>
          <w:sz w:val="19"/>
        </w:rPr>
      </w:pPr>
      <w:r>
        <w:rPr>
          <w:w w:val="105"/>
          <w:sz w:val="19"/>
        </w:rPr>
        <w:lastRenderedPageBreak/>
        <w:t>In this context, the complainant provided detailed figures based on the export data of the Chinese customs from January 2014 until February 2018. Based on submissions from interested parties a</w:t>
      </w:r>
      <w:r>
        <w:rPr>
          <w:w w:val="105"/>
          <w:sz w:val="19"/>
        </w:rPr>
        <w:t>nd a reconciliation of statistics, the Commission considered that there is a delay of two months between exports from the PRC and imports into the</w:t>
      </w:r>
      <w:r>
        <w:rPr>
          <w:spacing w:val="5"/>
          <w:w w:val="105"/>
          <w:sz w:val="19"/>
        </w:rPr>
        <w:t xml:space="preserve"> </w:t>
      </w:r>
      <w:r>
        <w:rPr>
          <w:w w:val="105"/>
          <w:sz w:val="19"/>
        </w:rPr>
        <w:t>Union.</w:t>
      </w:r>
    </w:p>
    <w:p w:rsidR="00EF33D9" w:rsidRDefault="00EF33D9">
      <w:pPr>
        <w:pStyle w:val="a3"/>
        <w:spacing w:before="4"/>
        <w:rPr>
          <w:sz w:val="24"/>
        </w:rPr>
      </w:pPr>
    </w:p>
    <w:p w:rsidR="00EF33D9" w:rsidRDefault="000D3E5C">
      <w:pPr>
        <w:pStyle w:val="a4"/>
        <w:numPr>
          <w:ilvl w:val="0"/>
          <w:numId w:val="4"/>
        </w:numPr>
        <w:tabs>
          <w:tab w:val="left" w:pos="645"/>
        </w:tabs>
        <w:spacing w:line="189" w:lineRule="auto"/>
        <w:ind w:hanging="537"/>
        <w:jc w:val="both"/>
        <w:rPr>
          <w:sz w:val="19"/>
        </w:rPr>
      </w:pPr>
      <w:r>
        <w:rPr>
          <w:w w:val="105"/>
          <w:sz w:val="19"/>
        </w:rPr>
        <w:t xml:space="preserve">In its analysis, the Commission therefore considered that the Chinese customs' export data provided sufficient </w:t>
      </w:r>
      <w:r>
        <w:rPr>
          <w:rFonts w:ascii="Cambria"/>
          <w:i/>
          <w:w w:val="105"/>
          <w:sz w:val="19"/>
        </w:rPr>
        <w:t xml:space="preserve">prima facie </w:t>
      </w:r>
      <w:r>
        <w:rPr>
          <w:w w:val="105"/>
          <w:sz w:val="19"/>
        </w:rPr>
        <w:t xml:space="preserve">evidence of imports into the Union with a two-month delay for shipment. </w:t>
      </w:r>
      <w:r>
        <w:rPr>
          <w:spacing w:val="-7"/>
          <w:w w:val="105"/>
          <w:sz w:val="19"/>
        </w:rPr>
        <w:t xml:space="preserve">To </w:t>
      </w:r>
      <w:r>
        <w:rPr>
          <w:w w:val="105"/>
          <w:sz w:val="19"/>
        </w:rPr>
        <w:t xml:space="preserve">determine the amount  of imports during the investigation </w:t>
      </w:r>
      <w:r>
        <w:rPr>
          <w:w w:val="105"/>
          <w:sz w:val="19"/>
        </w:rPr>
        <w:t>period (i.e. 1 October 2016 - 30 September 2017), the Commission thus     used the Chinese export data between August 2016 and July</w:t>
      </w:r>
      <w:r>
        <w:rPr>
          <w:spacing w:val="7"/>
          <w:w w:val="105"/>
          <w:sz w:val="19"/>
        </w:rPr>
        <w:t xml:space="preserve"> </w:t>
      </w:r>
      <w:r>
        <w:rPr>
          <w:w w:val="105"/>
          <w:sz w:val="19"/>
        </w:rPr>
        <w:t>2017.</w:t>
      </w:r>
    </w:p>
    <w:p w:rsidR="00EF33D9" w:rsidRDefault="00EF33D9">
      <w:pPr>
        <w:pStyle w:val="a3"/>
        <w:spacing w:before="4"/>
        <w:rPr>
          <w:sz w:val="24"/>
        </w:rPr>
      </w:pPr>
    </w:p>
    <w:p w:rsidR="00EF33D9" w:rsidRDefault="000D3E5C">
      <w:pPr>
        <w:pStyle w:val="a4"/>
        <w:numPr>
          <w:ilvl w:val="0"/>
          <w:numId w:val="4"/>
        </w:numPr>
        <w:tabs>
          <w:tab w:val="left" w:pos="645"/>
        </w:tabs>
        <w:spacing w:line="189" w:lineRule="auto"/>
        <w:ind w:right="103" w:hanging="537"/>
        <w:jc w:val="both"/>
        <w:rPr>
          <w:sz w:val="19"/>
        </w:rPr>
      </w:pPr>
      <w:r>
        <w:rPr>
          <w:w w:val="105"/>
          <w:sz w:val="19"/>
        </w:rPr>
        <w:t>The volume of exports from the PRC to the Union increased by 82 % in the period from November 2017 to February 2018 w</w:t>
      </w:r>
      <w:r>
        <w:rPr>
          <w:w w:val="105"/>
          <w:sz w:val="19"/>
        </w:rPr>
        <w:t xml:space="preserve">hen compared to the period from November 2016 to February 2017. In addition, the average monthly volume of exports from the PRC to the Union in the period from November  2017  to February  2018 was 64 % higher than the average monthly volume of imports to </w:t>
      </w:r>
      <w:r>
        <w:rPr>
          <w:w w:val="105"/>
          <w:sz w:val="19"/>
        </w:rPr>
        <w:t>the Union during the investigation period. The Commission considered that these figures provided evidence of a substantial increase in</w:t>
      </w:r>
      <w:r>
        <w:rPr>
          <w:spacing w:val="48"/>
          <w:w w:val="105"/>
          <w:sz w:val="19"/>
        </w:rPr>
        <w:t xml:space="preserve"> </w:t>
      </w:r>
      <w:r>
        <w:rPr>
          <w:w w:val="105"/>
          <w:sz w:val="19"/>
        </w:rPr>
        <w:t>imports.</w:t>
      </w:r>
    </w:p>
    <w:p w:rsidR="00EF33D9" w:rsidRDefault="00EF33D9">
      <w:pPr>
        <w:pStyle w:val="a3"/>
        <w:spacing w:before="3"/>
        <w:rPr>
          <w:sz w:val="24"/>
        </w:rPr>
      </w:pPr>
    </w:p>
    <w:p w:rsidR="00EF33D9" w:rsidRDefault="000D3E5C">
      <w:pPr>
        <w:pStyle w:val="a4"/>
        <w:numPr>
          <w:ilvl w:val="0"/>
          <w:numId w:val="4"/>
        </w:numPr>
        <w:tabs>
          <w:tab w:val="left" w:pos="645"/>
        </w:tabs>
        <w:spacing w:line="192" w:lineRule="auto"/>
        <w:ind w:right="102" w:hanging="537"/>
        <w:jc w:val="both"/>
        <w:rPr>
          <w:sz w:val="19"/>
        </w:rPr>
      </w:pPr>
      <w:r>
        <w:rPr>
          <w:w w:val="105"/>
          <w:sz w:val="19"/>
        </w:rPr>
        <w:t>Some unrelated importers and Giant claimed that the raw Chinese export data relied upon by the complainant to support its request for registration should be disclosed in the non-confidential file in order  to  ensure  the reliability of the source and of t</w:t>
      </w:r>
      <w:r>
        <w:rPr>
          <w:w w:val="105"/>
          <w:sz w:val="19"/>
        </w:rPr>
        <w:t>he data supplied. Importers claim that the codes used were not mentioned and could include other</w:t>
      </w:r>
      <w:r>
        <w:rPr>
          <w:spacing w:val="19"/>
          <w:w w:val="105"/>
          <w:sz w:val="19"/>
        </w:rPr>
        <w:t xml:space="preserve"> </w:t>
      </w:r>
      <w:r>
        <w:rPr>
          <w:w w:val="105"/>
          <w:sz w:val="19"/>
        </w:rPr>
        <w:t>products.</w:t>
      </w:r>
    </w:p>
    <w:p w:rsidR="00EF33D9" w:rsidRDefault="00EF33D9">
      <w:pPr>
        <w:pStyle w:val="a3"/>
        <w:spacing w:before="9"/>
        <w:rPr>
          <w:sz w:val="23"/>
        </w:rPr>
      </w:pPr>
    </w:p>
    <w:p w:rsidR="00EF33D9" w:rsidRDefault="000D3E5C">
      <w:pPr>
        <w:pStyle w:val="a4"/>
        <w:numPr>
          <w:ilvl w:val="0"/>
          <w:numId w:val="4"/>
        </w:numPr>
        <w:tabs>
          <w:tab w:val="left" w:pos="645"/>
        </w:tabs>
        <w:spacing w:line="189" w:lineRule="auto"/>
        <w:ind w:right="102" w:hanging="537"/>
        <w:jc w:val="both"/>
        <w:rPr>
          <w:sz w:val="19"/>
        </w:rPr>
      </w:pPr>
      <w:r>
        <w:rPr>
          <w:w w:val="105"/>
          <w:sz w:val="19"/>
        </w:rPr>
        <w:t>The complainant made available to the Commission the detailed statistics used to support its request. The disclosure of these data would breach copy</w:t>
      </w:r>
      <w:r>
        <w:rPr>
          <w:w w:val="105"/>
          <w:sz w:val="19"/>
        </w:rPr>
        <w:t>rights. However, the complainant made available in the non- confidential version of the request the aggregated export figures per month and per year. The complainant also indicated that the source was the Chinese customs, mentioned the codes used and expla</w:t>
      </w:r>
      <w:r>
        <w:rPr>
          <w:w w:val="105"/>
          <w:sz w:val="19"/>
        </w:rPr>
        <w:t xml:space="preserve">ined its methodology to exclude other products than the product concerned. As such, the source was known and public against payment. Furthermore, these data were broadly corroborated by Eurostat for the period available. No other interested party proposed </w:t>
      </w:r>
      <w:r>
        <w:rPr>
          <w:w w:val="105"/>
          <w:sz w:val="19"/>
        </w:rPr>
        <w:t>alternative data or methodology. In these circumstances and given the level of disclosure of aggregated data and methodology on the non-confidential file, the Commission considers that the input  data  is  not</w:t>
      </w:r>
      <w:r>
        <w:rPr>
          <w:spacing w:val="51"/>
          <w:w w:val="105"/>
          <w:sz w:val="19"/>
        </w:rPr>
        <w:t xml:space="preserve"> </w:t>
      </w:r>
      <w:r>
        <w:rPr>
          <w:w w:val="105"/>
          <w:sz w:val="19"/>
        </w:rPr>
        <w:t xml:space="preserve">necessary for the party concerned to exercise </w:t>
      </w:r>
      <w:r>
        <w:rPr>
          <w:w w:val="105"/>
          <w:sz w:val="19"/>
        </w:rPr>
        <w:t>their rights of defence. This argument had therefore to be</w:t>
      </w:r>
      <w:r>
        <w:rPr>
          <w:spacing w:val="49"/>
          <w:w w:val="105"/>
          <w:sz w:val="19"/>
        </w:rPr>
        <w:t xml:space="preserve"> </w:t>
      </w:r>
      <w:r>
        <w:rPr>
          <w:w w:val="105"/>
          <w:sz w:val="19"/>
        </w:rPr>
        <w:t>rejected.</w:t>
      </w:r>
    </w:p>
    <w:p w:rsidR="00EF33D9" w:rsidRDefault="00EF33D9">
      <w:pPr>
        <w:pStyle w:val="a3"/>
        <w:spacing w:before="10"/>
        <w:rPr>
          <w:sz w:val="24"/>
        </w:rPr>
      </w:pPr>
    </w:p>
    <w:p w:rsidR="00EF33D9" w:rsidRDefault="000D3E5C">
      <w:pPr>
        <w:pStyle w:val="a4"/>
        <w:numPr>
          <w:ilvl w:val="0"/>
          <w:numId w:val="4"/>
        </w:numPr>
        <w:tabs>
          <w:tab w:val="left" w:pos="645"/>
        </w:tabs>
        <w:spacing w:line="189" w:lineRule="auto"/>
        <w:ind w:right="102" w:hanging="537"/>
        <w:jc w:val="both"/>
        <w:rPr>
          <w:sz w:val="19"/>
        </w:rPr>
      </w:pPr>
      <w:r>
        <w:rPr>
          <w:w w:val="105"/>
          <w:sz w:val="19"/>
        </w:rPr>
        <w:t>Some unrelated importers further argued that stockpiling was not possible due to long lead times between design and delivery. In this regard, the Commission considered that the lead-time</w:t>
      </w:r>
      <w:r>
        <w:rPr>
          <w:w w:val="105"/>
          <w:sz w:val="19"/>
        </w:rPr>
        <w:t xml:space="preserve"> from designing an electric bicycle to actual delivery did not prevent the possibility of stockpiling an already designed electric bicycle, especially considering the information contained in the complaint concerning spare capacities in the PRC. Furthermor</w:t>
      </w:r>
      <w:r>
        <w:rPr>
          <w:w w:val="105"/>
          <w:sz w:val="19"/>
        </w:rPr>
        <w:t>e, the available statistical evidence supported the claim that there was a substantial rise in imports. The argument was therefore</w:t>
      </w:r>
      <w:r>
        <w:rPr>
          <w:spacing w:val="4"/>
          <w:w w:val="105"/>
          <w:sz w:val="19"/>
        </w:rPr>
        <w:t xml:space="preserve"> </w:t>
      </w:r>
      <w:r>
        <w:rPr>
          <w:w w:val="105"/>
          <w:sz w:val="19"/>
        </w:rPr>
        <w:t>rejected.</w:t>
      </w:r>
    </w:p>
    <w:p w:rsidR="00EF33D9" w:rsidRDefault="00EF33D9">
      <w:pPr>
        <w:pStyle w:val="a3"/>
        <w:spacing w:before="7"/>
        <w:rPr>
          <w:sz w:val="24"/>
        </w:rPr>
      </w:pPr>
    </w:p>
    <w:p w:rsidR="00EF33D9" w:rsidRDefault="000D3E5C">
      <w:pPr>
        <w:pStyle w:val="a4"/>
        <w:numPr>
          <w:ilvl w:val="0"/>
          <w:numId w:val="4"/>
        </w:numPr>
        <w:tabs>
          <w:tab w:val="left" w:pos="645"/>
        </w:tabs>
        <w:spacing w:line="189" w:lineRule="auto"/>
        <w:ind w:right="102" w:hanging="537"/>
        <w:jc w:val="both"/>
        <w:rPr>
          <w:sz w:val="19"/>
        </w:rPr>
      </w:pPr>
      <w:r>
        <w:rPr>
          <w:w w:val="105"/>
          <w:sz w:val="19"/>
        </w:rPr>
        <w:t>Some unrelated importers and Giant denied that the increase in Chinese exports provided evidence of a further subs</w:t>
      </w:r>
      <w:r>
        <w:rPr>
          <w:w w:val="105"/>
          <w:sz w:val="19"/>
        </w:rPr>
        <w:t>tantial rise in imports and claimed that it reflected the seasonality of the sales of electric bicycles. The Commission considered that a year-on-year comparison was not influenced by seasonality effects and provided evidence of a rise of 82 % in the volum</w:t>
      </w:r>
      <w:r>
        <w:rPr>
          <w:w w:val="105"/>
          <w:sz w:val="19"/>
        </w:rPr>
        <w:t>e of imports since the initiation of the case. The argument was therefore rejected.</w:t>
      </w:r>
    </w:p>
    <w:p w:rsidR="00EF33D9" w:rsidRDefault="00EF33D9">
      <w:pPr>
        <w:pStyle w:val="a3"/>
        <w:spacing w:before="5"/>
        <w:rPr>
          <w:sz w:val="24"/>
        </w:rPr>
      </w:pPr>
    </w:p>
    <w:p w:rsidR="00EF33D9" w:rsidRDefault="000D3E5C">
      <w:pPr>
        <w:pStyle w:val="a4"/>
        <w:numPr>
          <w:ilvl w:val="0"/>
          <w:numId w:val="4"/>
        </w:numPr>
        <w:tabs>
          <w:tab w:val="left" w:pos="645"/>
        </w:tabs>
        <w:spacing w:line="189" w:lineRule="auto"/>
        <w:ind w:hanging="537"/>
        <w:jc w:val="both"/>
        <w:rPr>
          <w:sz w:val="19"/>
        </w:rPr>
      </w:pPr>
      <w:r>
        <w:rPr>
          <w:w w:val="105"/>
          <w:sz w:val="19"/>
        </w:rPr>
        <w:t xml:space="preserve">Giant denied that the rise of imports was substantial and claimed that it was below or in line with the overall growth in Union demand for electric bicycles. Giant quoted </w:t>
      </w:r>
      <w:r>
        <w:rPr>
          <w:w w:val="105"/>
          <w:sz w:val="19"/>
        </w:rPr>
        <w:t xml:space="preserve">the publications of the Confederation  of  the European Bicycle Industry </w:t>
      </w:r>
      <w:r>
        <w:rPr>
          <w:sz w:val="19"/>
        </w:rPr>
        <w:t xml:space="preserve">(‘CONEBI’) </w:t>
      </w:r>
      <w:r>
        <w:rPr>
          <w:w w:val="105"/>
          <w:sz w:val="19"/>
        </w:rPr>
        <w:t xml:space="preserve">which estimated this growth to be 22,2 % in 2016 in comparison with 2015, and of EBMA, the complainant, which estimated the growth rate for 2017 at 23 % in comparison with </w:t>
      </w:r>
      <w:r>
        <w:rPr>
          <w:w w:val="105"/>
          <w:sz w:val="19"/>
        </w:rPr>
        <w:t>2016. Giant claimed that October 2017 was the proper starting point to assess the increase in imports. Giant calculated that based on Eurostat import data, monthly imports of electric bicycles had increased by 8,7 % between October 2017 and January</w:t>
      </w:r>
      <w:r>
        <w:rPr>
          <w:spacing w:val="27"/>
          <w:w w:val="105"/>
          <w:sz w:val="19"/>
        </w:rPr>
        <w:t xml:space="preserve"> </w:t>
      </w:r>
      <w:r>
        <w:rPr>
          <w:w w:val="105"/>
          <w:sz w:val="19"/>
        </w:rPr>
        <w:t>2018.</w:t>
      </w:r>
    </w:p>
    <w:p w:rsidR="00EF33D9" w:rsidRDefault="00EF33D9">
      <w:pPr>
        <w:pStyle w:val="a3"/>
        <w:spacing w:before="8"/>
        <w:rPr>
          <w:sz w:val="24"/>
        </w:rPr>
      </w:pPr>
    </w:p>
    <w:p w:rsidR="00EF33D9" w:rsidRDefault="000D3E5C">
      <w:pPr>
        <w:pStyle w:val="a4"/>
        <w:numPr>
          <w:ilvl w:val="0"/>
          <w:numId w:val="4"/>
        </w:numPr>
        <w:tabs>
          <w:tab w:val="left" w:pos="645"/>
        </w:tabs>
        <w:spacing w:line="189" w:lineRule="auto"/>
        <w:ind w:right="103" w:hanging="537"/>
        <w:jc w:val="both"/>
        <w:rPr>
          <w:sz w:val="19"/>
        </w:rPr>
      </w:pPr>
      <w:r>
        <w:rPr>
          <w:w w:val="105"/>
          <w:sz w:val="19"/>
        </w:rPr>
        <w:t xml:space="preserve">The Commission notes that Giant submitted that the shipment time between exports from the </w:t>
      </w:r>
      <w:r>
        <w:rPr>
          <w:spacing w:val="-3"/>
          <w:w w:val="105"/>
          <w:sz w:val="19"/>
        </w:rPr>
        <w:t xml:space="preserve">PRC </w:t>
      </w:r>
      <w:r>
        <w:rPr>
          <w:w w:val="105"/>
          <w:sz w:val="19"/>
        </w:rPr>
        <w:t xml:space="preserve">and imports </w:t>
      </w:r>
      <w:r>
        <w:rPr>
          <w:w w:val="108"/>
          <w:sz w:val="19"/>
        </w:rPr>
        <w:t>into</w:t>
      </w:r>
      <w:r>
        <w:rPr>
          <w:spacing w:val="15"/>
          <w:sz w:val="19"/>
        </w:rPr>
        <w:t xml:space="preserve"> </w:t>
      </w:r>
      <w:r>
        <w:rPr>
          <w:w w:val="107"/>
          <w:sz w:val="19"/>
        </w:rPr>
        <w:t>the</w:t>
      </w:r>
      <w:r>
        <w:rPr>
          <w:spacing w:val="18"/>
          <w:sz w:val="19"/>
        </w:rPr>
        <w:t xml:space="preserve"> </w:t>
      </w:r>
      <w:r>
        <w:rPr>
          <w:w w:val="105"/>
          <w:sz w:val="19"/>
        </w:rPr>
        <w:t>Union</w:t>
      </w:r>
      <w:r>
        <w:rPr>
          <w:spacing w:val="14"/>
          <w:sz w:val="19"/>
        </w:rPr>
        <w:t xml:space="preserve"> </w:t>
      </w:r>
      <w:r>
        <w:rPr>
          <w:w w:val="102"/>
          <w:sz w:val="19"/>
        </w:rPr>
        <w:t>was</w:t>
      </w:r>
      <w:r>
        <w:rPr>
          <w:spacing w:val="17"/>
          <w:sz w:val="19"/>
        </w:rPr>
        <w:t xml:space="preserve"> </w:t>
      </w:r>
      <w:r>
        <w:rPr>
          <w:w w:val="53"/>
          <w:sz w:val="19"/>
        </w:rPr>
        <w:t>‘at</w:t>
      </w:r>
      <w:r>
        <w:rPr>
          <w:spacing w:val="18"/>
          <w:sz w:val="19"/>
        </w:rPr>
        <w:t xml:space="preserve"> </w:t>
      </w:r>
      <w:r>
        <w:rPr>
          <w:w w:val="101"/>
          <w:sz w:val="19"/>
        </w:rPr>
        <w:t>least</w:t>
      </w:r>
      <w:r>
        <w:rPr>
          <w:spacing w:val="15"/>
          <w:sz w:val="19"/>
        </w:rPr>
        <w:t xml:space="preserve"> </w:t>
      </w:r>
      <w:r>
        <w:rPr>
          <w:w w:val="107"/>
          <w:sz w:val="19"/>
        </w:rPr>
        <w:t>one</w:t>
      </w:r>
      <w:r>
        <w:rPr>
          <w:spacing w:val="18"/>
          <w:sz w:val="19"/>
        </w:rPr>
        <w:t xml:space="preserve"> </w:t>
      </w:r>
      <w:r>
        <w:rPr>
          <w:w w:val="110"/>
          <w:sz w:val="19"/>
        </w:rPr>
        <w:t>or</w:t>
      </w:r>
      <w:r>
        <w:rPr>
          <w:spacing w:val="24"/>
          <w:sz w:val="19"/>
        </w:rPr>
        <w:t xml:space="preserve"> </w:t>
      </w:r>
      <w:r>
        <w:rPr>
          <w:w w:val="107"/>
          <w:sz w:val="19"/>
        </w:rPr>
        <w:t>two</w:t>
      </w:r>
      <w:r>
        <w:rPr>
          <w:spacing w:val="15"/>
          <w:sz w:val="19"/>
        </w:rPr>
        <w:t xml:space="preserve"> </w:t>
      </w:r>
      <w:r>
        <w:rPr>
          <w:w w:val="109"/>
          <w:sz w:val="19"/>
        </w:rPr>
        <w:t>month</w:t>
      </w:r>
      <w:r>
        <w:rPr>
          <w:spacing w:val="2"/>
          <w:w w:val="109"/>
          <w:sz w:val="19"/>
        </w:rPr>
        <w:t>s</w:t>
      </w:r>
      <w:r>
        <w:rPr>
          <w:w w:val="31"/>
          <w:sz w:val="19"/>
        </w:rPr>
        <w:t>’.</w:t>
      </w:r>
      <w:r>
        <w:rPr>
          <w:spacing w:val="16"/>
          <w:sz w:val="19"/>
        </w:rPr>
        <w:t xml:space="preserve"> </w:t>
      </w:r>
      <w:r>
        <w:rPr>
          <w:w w:val="99"/>
          <w:sz w:val="19"/>
        </w:rPr>
        <w:t>As</w:t>
      </w:r>
      <w:r>
        <w:rPr>
          <w:spacing w:val="18"/>
          <w:sz w:val="19"/>
        </w:rPr>
        <w:t xml:space="preserve"> </w:t>
      </w:r>
      <w:r>
        <w:rPr>
          <w:w w:val="102"/>
          <w:sz w:val="19"/>
        </w:rPr>
        <w:t>a</w:t>
      </w:r>
      <w:r>
        <w:rPr>
          <w:spacing w:val="17"/>
          <w:sz w:val="19"/>
        </w:rPr>
        <w:t xml:space="preserve"> </w:t>
      </w:r>
      <w:r>
        <w:rPr>
          <w:w w:val="103"/>
          <w:sz w:val="19"/>
        </w:rPr>
        <w:t>result,</w:t>
      </w:r>
      <w:r>
        <w:rPr>
          <w:spacing w:val="19"/>
          <w:sz w:val="19"/>
        </w:rPr>
        <w:t xml:space="preserve"> </w:t>
      </w:r>
      <w:r>
        <w:rPr>
          <w:w w:val="107"/>
          <w:sz w:val="19"/>
        </w:rPr>
        <w:t>the</w:t>
      </w:r>
      <w:r>
        <w:rPr>
          <w:spacing w:val="17"/>
          <w:sz w:val="19"/>
        </w:rPr>
        <w:t xml:space="preserve"> </w:t>
      </w:r>
      <w:r>
        <w:rPr>
          <w:w w:val="108"/>
          <w:sz w:val="19"/>
        </w:rPr>
        <w:t>impo</w:t>
      </w:r>
      <w:r>
        <w:rPr>
          <w:spacing w:val="4"/>
          <w:w w:val="108"/>
          <w:sz w:val="19"/>
        </w:rPr>
        <w:t>r</w:t>
      </w:r>
      <w:r>
        <w:rPr>
          <w:w w:val="105"/>
          <w:sz w:val="19"/>
        </w:rPr>
        <w:t>ts</w:t>
      </w:r>
      <w:r>
        <w:rPr>
          <w:spacing w:val="18"/>
          <w:sz w:val="19"/>
        </w:rPr>
        <w:t xml:space="preserve"> </w:t>
      </w:r>
      <w:r>
        <w:rPr>
          <w:w w:val="106"/>
          <w:sz w:val="19"/>
        </w:rPr>
        <w:t>in</w:t>
      </w:r>
      <w:r>
        <w:rPr>
          <w:spacing w:val="18"/>
          <w:sz w:val="19"/>
        </w:rPr>
        <w:t xml:space="preserve"> </w:t>
      </w:r>
      <w:r>
        <w:rPr>
          <w:w w:val="106"/>
          <w:sz w:val="19"/>
        </w:rPr>
        <w:t>Octob</w:t>
      </w:r>
      <w:r>
        <w:rPr>
          <w:spacing w:val="-4"/>
          <w:w w:val="106"/>
          <w:sz w:val="19"/>
        </w:rPr>
        <w:t>e</w:t>
      </w:r>
      <w:r>
        <w:rPr>
          <w:w w:val="109"/>
          <w:sz w:val="19"/>
        </w:rPr>
        <w:t>r</w:t>
      </w:r>
      <w:r>
        <w:rPr>
          <w:spacing w:val="19"/>
          <w:sz w:val="19"/>
        </w:rPr>
        <w:t xml:space="preserve"> </w:t>
      </w:r>
      <w:r>
        <w:rPr>
          <w:w w:val="114"/>
          <w:sz w:val="19"/>
        </w:rPr>
        <w:t>2017</w:t>
      </w:r>
      <w:r>
        <w:rPr>
          <w:spacing w:val="17"/>
          <w:sz w:val="19"/>
        </w:rPr>
        <w:t xml:space="preserve"> </w:t>
      </w:r>
      <w:r>
        <w:rPr>
          <w:w w:val="106"/>
          <w:sz w:val="19"/>
        </w:rPr>
        <w:t>co</w:t>
      </w:r>
      <w:r>
        <w:rPr>
          <w:spacing w:val="3"/>
          <w:w w:val="106"/>
          <w:sz w:val="19"/>
        </w:rPr>
        <w:t>r</w:t>
      </w:r>
      <w:r>
        <w:rPr>
          <w:w w:val="106"/>
          <w:sz w:val="19"/>
        </w:rPr>
        <w:t>responded</w:t>
      </w:r>
      <w:r>
        <w:rPr>
          <w:spacing w:val="19"/>
          <w:sz w:val="19"/>
        </w:rPr>
        <w:t xml:space="preserve"> </w:t>
      </w:r>
      <w:r>
        <w:rPr>
          <w:w w:val="111"/>
          <w:sz w:val="19"/>
        </w:rPr>
        <w:t>to</w:t>
      </w:r>
      <w:r>
        <w:rPr>
          <w:spacing w:val="15"/>
          <w:sz w:val="19"/>
        </w:rPr>
        <w:t xml:space="preserve"> </w:t>
      </w:r>
      <w:r>
        <w:rPr>
          <w:w w:val="107"/>
          <w:sz w:val="19"/>
        </w:rPr>
        <w:t xml:space="preserve">the </w:t>
      </w:r>
      <w:r>
        <w:rPr>
          <w:w w:val="105"/>
          <w:sz w:val="19"/>
        </w:rPr>
        <w:t>exports from the PRC made in August 2017, before the initiation of the investigation. In addition, the average monthly volume of exports from the PRC to the Union in the period from August 2017 to February 2018 was    36 % higher than the average monthly v</w:t>
      </w:r>
      <w:r>
        <w:rPr>
          <w:w w:val="105"/>
          <w:sz w:val="19"/>
        </w:rPr>
        <w:t>olume of imports to the Union during the investigation period. This growth rate does not take into account the very significant increase of imports which  had  already occurred during the investigation period and is nevertheless well above the 2016 and 201</w:t>
      </w:r>
      <w:r>
        <w:rPr>
          <w:w w:val="105"/>
          <w:sz w:val="19"/>
        </w:rPr>
        <w:t>7 growth rates in the Union market</w:t>
      </w:r>
      <w:r>
        <w:rPr>
          <w:spacing w:val="4"/>
          <w:w w:val="105"/>
          <w:sz w:val="19"/>
        </w:rPr>
        <w:t xml:space="preserve"> </w:t>
      </w:r>
      <w:r>
        <w:rPr>
          <w:w w:val="105"/>
          <w:sz w:val="19"/>
        </w:rPr>
        <w:t>demand.</w:t>
      </w:r>
    </w:p>
    <w:p w:rsidR="00EF33D9" w:rsidRDefault="00EF33D9">
      <w:pPr>
        <w:pStyle w:val="a3"/>
        <w:spacing w:before="9"/>
        <w:rPr>
          <w:sz w:val="24"/>
        </w:rPr>
      </w:pPr>
    </w:p>
    <w:p w:rsidR="00EF33D9" w:rsidRDefault="000D3E5C">
      <w:pPr>
        <w:pStyle w:val="a4"/>
        <w:numPr>
          <w:ilvl w:val="0"/>
          <w:numId w:val="4"/>
        </w:numPr>
        <w:tabs>
          <w:tab w:val="left" w:pos="645"/>
        </w:tabs>
        <w:spacing w:line="189" w:lineRule="auto"/>
        <w:ind w:hanging="537"/>
        <w:jc w:val="both"/>
        <w:rPr>
          <w:sz w:val="19"/>
        </w:rPr>
      </w:pPr>
      <w:r>
        <w:rPr>
          <w:w w:val="105"/>
          <w:sz w:val="19"/>
        </w:rPr>
        <w:t>Therefore, the Commission concluded that the second criterion for registration for the dumping part of  the</w:t>
      </w:r>
      <w:r>
        <w:rPr>
          <w:spacing w:val="51"/>
          <w:w w:val="105"/>
          <w:sz w:val="19"/>
        </w:rPr>
        <w:t xml:space="preserve"> </w:t>
      </w:r>
      <w:r>
        <w:rPr>
          <w:w w:val="105"/>
          <w:sz w:val="19"/>
        </w:rPr>
        <w:t>request was also</w:t>
      </w:r>
      <w:r>
        <w:rPr>
          <w:spacing w:val="15"/>
          <w:w w:val="105"/>
          <w:sz w:val="19"/>
        </w:rPr>
        <w:t xml:space="preserve"> </w:t>
      </w:r>
      <w:r>
        <w:rPr>
          <w:w w:val="105"/>
          <w:sz w:val="19"/>
        </w:rPr>
        <w:t>met.</w:t>
      </w:r>
    </w:p>
    <w:p w:rsidR="00EF33D9" w:rsidRDefault="00EF33D9">
      <w:pPr>
        <w:spacing w:line="189" w:lineRule="auto"/>
        <w:jc w:val="both"/>
        <w:rPr>
          <w:sz w:val="19"/>
        </w:rPr>
        <w:sectPr w:rsidR="00EF33D9">
          <w:pgSz w:w="11910" w:h="16840"/>
          <w:pgMar w:top="1380" w:right="1240" w:bottom="280" w:left="1240" w:header="967" w:footer="0" w:gutter="0"/>
          <w:cols w:space="720"/>
        </w:sectPr>
      </w:pPr>
    </w:p>
    <w:p w:rsidR="00EF33D9" w:rsidRDefault="000D3E5C">
      <w:pPr>
        <w:pStyle w:val="1"/>
        <w:numPr>
          <w:ilvl w:val="1"/>
          <w:numId w:val="2"/>
        </w:numPr>
        <w:tabs>
          <w:tab w:val="left" w:pos="1040"/>
        </w:tabs>
        <w:spacing w:before="82"/>
      </w:pPr>
      <w:r>
        <w:lastRenderedPageBreak/>
        <w:t>Undermining of the remedial effect of the</w:t>
      </w:r>
      <w:r>
        <w:rPr>
          <w:spacing w:val="7"/>
        </w:rPr>
        <w:t xml:space="preserve"> </w:t>
      </w:r>
      <w:r>
        <w:t>duty</w:t>
      </w:r>
    </w:p>
    <w:p w:rsidR="00EF33D9" w:rsidRDefault="00EF33D9">
      <w:pPr>
        <w:pStyle w:val="a3"/>
        <w:spacing w:before="7"/>
        <w:rPr>
          <w:rFonts w:ascii="Book Antiqua"/>
          <w:b/>
          <w:sz w:val="26"/>
        </w:rPr>
      </w:pPr>
    </w:p>
    <w:p w:rsidR="00EF33D9" w:rsidRDefault="000D3E5C">
      <w:pPr>
        <w:pStyle w:val="a4"/>
        <w:numPr>
          <w:ilvl w:val="0"/>
          <w:numId w:val="4"/>
        </w:numPr>
        <w:tabs>
          <w:tab w:val="left" w:pos="645"/>
        </w:tabs>
        <w:spacing w:line="189" w:lineRule="auto"/>
        <w:ind w:hanging="537"/>
        <w:jc w:val="both"/>
        <w:rPr>
          <w:sz w:val="19"/>
        </w:rPr>
      </w:pPr>
      <w:r>
        <w:rPr>
          <w:w w:val="105"/>
          <w:sz w:val="19"/>
        </w:rPr>
        <w:t>The Commission has at its disposal sufficient evidence that additional injury would be caused by a continued rise in imports from the PRC at further decreasing</w:t>
      </w:r>
      <w:r>
        <w:rPr>
          <w:spacing w:val="38"/>
          <w:w w:val="105"/>
          <w:sz w:val="19"/>
        </w:rPr>
        <w:t xml:space="preserve"> </w:t>
      </w:r>
      <w:r>
        <w:rPr>
          <w:w w:val="105"/>
          <w:sz w:val="19"/>
        </w:rPr>
        <w:t>prices.</w:t>
      </w:r>
    </w:p>
    <w:p w:rsidR="00EF33D9" w:rsidRDefault="00EF33D9">
      <w:pPr>
        <w:pStyle w:val="a3"/>
        <w:spacing w:before="2"/>
        <w:rPr>
          <w:sz w:val="24"/>
        </w:rPr>
      </w:pPr>
    </w:p>
    <w:p w:rsidR="00EF33D9" w:rsidRDefault="000D3E5C">
      <w:pPr>
        <w:pStyle w:val="a4"/>
        <w:numPr>
          <w:ilvl w:val="0"/>
          <w:numId w:val="4"/>
        </w:numPr>
        <w:tabs>
          <w:tab w:val="left" w:pos="645"/>
        </w:tabs>
        <w:spacing w:line="189" w:lineRule="auto"/>
        <w:ind w:right="105" w:hanging="537"/>
        <w:jc w:val="both"/>
        <w:rPr>
          <w:sz w:val="19"/>
        </w:rPr>
      </w:pPr>
      <w:r>
        <w:rPr>
          <w:w w:val="105"/>
          <w:sz w:val="19"/>
        </w:rPr>
        <w:t xml:space="preserve">As established in recitals (19) to (29), there is sufficient evidence of a substantial </w:t>
      </w:r>
      <w:r>
        <w:rPr>
          <w:w w:val="105"/>
          <w:sz w:val="19"/>
        </w:rPr>
        <w:t>rise in imports of the product concerned.</w:t>
      </w:r>
    </w:p>
    <w:p w:rsidR="00EF33D9" w:rsidRDefault="00EF33D9">
      <w:pPr>
        <w:pStyle w:val="a3"/>
        <w:rPr>
          <w:sz w:val="24"/>
        </w:rPr>
      </w:pPr>
    </w:p>
    <w:p w:rsidR="00EF33D9" w:rsidRDefault="000D3E5C">
      <w:pPr>
        <w:pStyle w:val="a4"/>
        <w:numPr>
          <w:ilvl w:val="0"/>
          <w:numId w:val="4"/>
        </w:numPr>
        <w:tabs>
          <w:tab w:val="left" w:pos="645"/>
        </w:tabs>
        <w:spacing w:line="192" w:lineRule="auto"/>
        <w:ind w:right="103" w:hanging="537"/>
        <w:jc w:val="both"/>
        <w:rPr>
          <w:sz w:val="19"/>
        </w:rPr>
      </w:pPr>
      <w:r>
        <w:rPr>
          <w:w w:val="105"/>
          <w:sz w:val="19"/>
        </w:rPr>
        <w:t>In addition, there is evidence of a decreasing trend in the import prices of the product concerned. The average price in euros of imports from the PRC into the Union was indeed 8 % lower  in the period from Novemb</w:t>
      </w:r>
      <w:r>
        <w:rPr>
          <w:w w:val="105"/>
          <w:sz w:val="19"/>
        </w:rPr>
        <w:t>er   2017 to February 2018 than in the period from November 2016 to February 2017 and 7 %  lower  when  compared to the investigation</w:t>
      </w:r>
      <w:r>
        <w:rPr>
          <w:spacing w:val="20"/>
          <w:w w:val="105"/>
          <w:sz w:val="19"/>
        </w:rPr>
        <w:t xml:space="preserve"> </w:t>
      </w:r>
      <w:r>
        <w:rPr>
          <w:w w:val="105"/>
          <w:sz w:val="19"/>
        </w:rPr>
        <w:t>period.</w:t>
      </w:r>
    </w:p>
    <w:p w:rsidR="00EF33D9" w:rsidRDefault="00EF33D9">
      <w:pPr>
        <w:pStyle w:val="a3"/>
        <w:spacing w:before="11"/>
        <w:rPr>
          <w:sz w:val="23"/>
        </w:rPr>
      </w:pPr>
    </w:p>
    <w:p w:rsidR="00EF33D9" w:rsidRDefault="000D3E5C">
      <w:pPr>
        <w:pStyle w:val="a4"/>
        <w:numPr>
          <w:ilvl w:val="0"/>
          <w:numId w:val="4"/>
        </w:numPr>
        <w:tabs>
          <w:tab w:val="left" w:pos="645"/>
        </w:tabs>
        <w:spacing w:line="189" w:lineRule="auto"/>
        <w:ind w:hanging="537"/>
        <w:jc w:val="both"/>
        <w:rPr>
          <w:sz w:val="19"/>
        </w:rPr>
      </w:pPr>
      <w:r>
        <w:rPr>
          <w:w w:val="105"/>
          <w:sz w:val="19"/>
        </w:rPr>
        <w:t>Additional circumstances show that the further substantial rise in imports is likely to seriously undermine the r</w:t>
      </w:r>
      <w:r>
        <w:rPr>
          <w:w w:val="105"/>
          <w:sz w:val="19"/>
        </w:rPr>
        <w:t xml:space="preserve">emedial effect of the duties to be applied. It is indeed reasonable to assume that the imports of the product concerned may further increase prior to the adoption of provisional measures, if </w:t>
      </w:r>
      <w:r>
        <w:rPr>
          <w:spacing w:val="-3"/>
          <w:w w:val="105"/>
          <w:sz w:val="19"/>
        </w:rPr>
        <w:t xml:space="preserve">any, </w:t>
      </w:r>
      <w:r>
        <w:rPr>
          <w:w w:val="105"/>
          <w:sz w:val="19"/>
        </w:rPr>
        <w:t>since the latter would occur at the latest around the 20</w:t>
      </w:r>
      <w:r>
        <w:rPr>
          <w:w w:val="105"/>
          <w:position w:val="5"/>
          <w:sz w:val="11"/>
        </w:rPr>
        <w:t xml:space="preserve">th </w:t>
      </w:r>
      <w:r>
        <w:rPr>
          <w:w w:val="105"/>
          <w:sz w:val="19"/>
        </w:rPr>
        <w:t>o</w:t>
      </w:r>
      <w:r>
        <w:rPr>
          <w:w w:val="105"/>
          <w:sz w:val="19"/>
        </w:rPr>
        <w:t>f July which would coincide with the end of the 2018 selling season of electric bicycles.</w:t>
      </w:r>
    </w:p>
    <w:p w:rsidR="00EF33D9" w:rsidRDefault="00EF33D9">
      <w:pPr>
        <w:pStyle w:val="a3"/>
        <w:spacing w:before="6"/>
        <w:rPr>
          <w:sz w:val="24"/>
        </w:rPr>
      </w:pPr>
    </w:p>
    <w:p w:rsidR="00EF33D9" w:rsidRDefault="000D3E5C">
      <w:pPr>
        <w:pStyle w:val="a4"/>
        <w:numPr>
          <w:ilvl w:val="0"/>
          <w:numId w:val="4"/>
        </w:numPr>
        <w:tabs>
          <w:tab w:val="left" w:pos="645"/>
        </w:tabs>
        <w:spacing w:line="189" w:lineRule="auto"/>
        <w:ind w:right="105" w:hanging="537"/>
        <w:jc w:val="both"/>
        <w:rPr>
          <w:sz w:val="19"/>
        </w:rPr>
      </w:pPr>
      <w:r>
        <w:rPr>
          <w:w w:val="105"/>
          <w:sz w:val="19"/>
        </w:rPr>
        <w:t>Such further rise in imports following the initiation of the case is thus likely, in light of its timing, volume and other circumstances (such as the excess capacity</w:t>
      </w:r>
      <w:r>
        <w:rPr>
          <w:w w:val="105"/>
          <w:sz w:val="19"/>
        </w:rPr>
        <w:t xml:space="preserve"> in the </w:t>
      </w:r>
      <w:r>
        <w:rPr>
          <w:spacing w:val="-3"/>
          <w:w w:val="105"/>
          <w:sz w:val="19"/>
        </w:rPr>
        <w:t xml:space="preserve">PRC </w:t>
      </w:r>
      <w:r>
        <w:rPr>
          <w:w w:val="105"/>
          <w:sz w:val="19"/>
        </w:rPr>
        <w:t>and pricing behaviour of Chinese exporting producers) to seriously undermine the remedial effect of any definitive duty, unless such duty would be applied retroactively.</w:t>
      </w:r>
    </w:p>
    <w:p w:rsidR="00EF33D9" w:rsidRDefault="00EF33D9">
      <w:pPr>
        <w:pStyle w:val="a3"/>
        <w:spacing w:before="5"/>
        <w:rPr>
          <w:sz w:val="24"/>
        </w:rPr>
      </w:pPr>
    </w:p>
    <w:p w:rsidR="00EF33D9" w:rsidRDefault="000D3E5C">
      <w:pPr>
        <w:pStyle w:val="a4"/>
        <w:numPr>
          <w:ilvl w:val="0"/>
          <w:numId w:val="4"/>
        </w:numPr>
        <w:tabs>
          <w:tab w:val="left" w:pos="645"/>
        </w:tabs>
        <w:spacing w:line="189" w:lineRule="auto"/>
        <w:ind w:right="105" w:hanging="537"/>
        <w:jc w:val="both"/>
        <w:rPr>
          <w:sz w:val="19"/>
        </w:rPr>
      </w:pPr>
      <w:r>
        <w:rPr>
          <w:w w:val="105"/>
          <w:sz w:val="19"/>
        </w:rPr>
        <w:t>The Commission therefore concluded that the third criterion for registrat</w:t>
      </w:r>
      <w:r>
        <w:rPr>
          <w:w w:val="105"/>
          <w:sz w:val="19"/>
        </w:rPr>
        <w:t>ion for the dumping part of the request was also</w:t>
      </w:r>
      <w:r>
        <w:rPr>
          <w:spacing w:val="9"/>
          <w:w w:val="105"/>
          <w:sz w:val="19"/>
        </w:rPr>
        <w:t xml:space="preserve"> </w:t>
      </w:r>
      <w:r>
        <w:rPr>
          <w:w w:val="105"/>
          <w:sz w:val="19"/>
        </w:rPr>
        <w:t>met.</w:t>
      </w:r>
    </w:p>
    <w:p w:rsidR="00EF33D9" w:rsidRDefault="00EF33D9">
      <w:pPr>
        <w:pStyle w:val="a3"/>
        <w:rPr>
          <w:sz w:val="22"/>
        </w:rPr>
      </w:pPr>
    </w:p>
    <w:p w:rsidR="00EF33D9" w:rsidRDefault="000D3E5C">
      <w:pPr>
        <w:pStyle w:val="1"/>
        <w:numPr>
          <w:ilvl w:val="1"/>
          <w:numId w:val="2"/>
        </w:numPr>
        <w:tabs>
          <w:tab w:val="left" w:pos="1040"/>
        </w:tabs>
        <w:spacing w:before="190" w:line="199" w:lineRule="auto"/>
        <w:ind w:right="105"/>
      </w:pPr>
      <w:r>
        <w:t>Injury, which is difficult to repair, is caused by massive imports of a subsidised product in        a relatively short</w:t>
      </w:r>
      <w:r>
        <w:rPr>
          <w:spacing w:val="25"/>
        </w:rPr>
        <w:t xml:space="preserve"> </w:t>
      </w:r>
      <w:r>
        <w:t>period</w:t>
      </w:r>
    </w:p>
    <w:p w:rsidR="00EF33D9" w:rsidRDefault="00EF33D9">
      <w:pPr>
        <w:pStyle w:val="a3"/>
        <w:spacing w:before="5"/>
        <w:rPr>
          <w:rFonts w:ascii="Book Antiqua"/>
          <w:b/>
          <w:sz w:val="29"/>
        </w:rPr>
      </w:pPr>
    </w:p>
    <w:p w:rsidR="00EF33D9" w:rsidRDefault="000D3E5C">
      <w:pPr>
        <w:pStyle w:val="a4"/>
        <w:numPr>
          <w:ilvl w:val="0"/>
          <w:numId w:val="4"/>
        </w:numPr>
        <w:tabs>
          <w:tab w:val="left" w:pos="645"/>
        </w:tabs>
        <w:spacing w:line="189" w:lineRule="auto"/>
        <w:ind w:right="103" w:hanging="537"/>
        <w:jc w:val="both"/>
        <w:rPr>
          <w:sz w:val="19"/>
        </w:rPr>
      </w:pPr>
      <w:r>
        <w:rPr>
          <w:w w:val="105"/>
          <w:sz w:val="19"/>
        </w:rPr>
        <w:t xml:space="preserve">As regards subsidisation, the Commission has at its disposal sufficient evidence that imports of the product concerned from the </w:t>
      </w:r>
      <w:r>
        <w:rPr>
          <w:spacing w:val="-3"/>
          <w:w w:val="105"/>
          <w:sz w:val="19"/>
        </w:rPr>
        <w:t xml:space="preserve">PRC </w:t>
      </w:r>
      <w:r>
        <w:rPr>
          <w:w w:val="105"/>
          <w:sz w:val="19"/>
        </w:rPr>
        <w:t>are being subsidised. The alleged subsidies consist, inter alia, of (i) direct transfer of funds and liabilities, such as gr</w:t>
      </w:r>
      <w:r>
        <w:rPr>
          <w:w w:val="105"/>
          <w:sz w:val="19"/>
        </w:rPr>
        <w:t xml:space="preserve">ants, preferential loans, directed credits by state-owned banks as well as private banks, as well as export credits and guarantees and export insurance; (ii) government revenue forgone or not collected, such as income tax reductions and exemptions, import </w:t>
      </w:r>
      <w:r>
        <w:rPr>
          <w:w w:val="105"/>
          <w:sz w:val="19"/>
        </w:rPr>
        <w:t xml:space="preserve">tariff rebates, withholding tax reductions and </w:t>
      </w:r>
      <w:r>
        <w:rPr>
          <w:spacing w:val="-9"/>
          <w:w w:val="105"/>
          <w:sz w:val="19"/>
        </w:rPr>
        <w:t xml:space="preserve">VAT </w:t>
      </w:r>
      <w:r>
        <w:rPr>
          <w:w w:val="105"/>
          <w:sz w:val="19"/>
        </w:rPr>
        <w:t>exemptions and rebates; and (iii) government provision of input materials and land and energy for less than adequate remuneration. Such evidence was made available in the open version of the complaint and in the memorandum on sufficient</w:t>
      </w:r>
      <w:r>
        <w:rPr>
          <w:spacing w:val="15"/>
          <w:w w:val="105"/>
          <w:sz w:val="19"/>
        </w:rPr>
        <w:t xml:space="preserve"> </w:t>
      </w:r>
      <w:r>
        <w:rPr>
          <w:w w:val="105"/>
          <w:sz w:val="19"/>
        </w:rPr>
        <w:t>evidence.</w:t>
      </w:r>
    </w:p>
    <w:p w:rsidR="00EF33D9" w:rsidRDefault="00EF33D9">
      <w:pPr>
        <w:pStyle w:val="a3"/>
        <w:spacing w:before="9"/>
        <w:rPr>
          <w:sz w:val="24"/>
        </w:rPr>
      </w:pPr>
    </w:p>
    <w:p w:rsidR="00EF33D9" w:rsidRDefault="000D3E5C">
      <w:pPr>
        <w:pStyle w:val="a4"/>
        <w:numPr>
          <w:ilvl w:val="0"/>
          <w:numId w:val="4"/>
        </w:numPr>
        <w:tabs>
          <w:tab w:val="left" w:pos="645"/>
        </w:tabs>
        <w:spacing w:line="189" w:lineRule="auto"/>
        <w:ind w:hanging="537"/>
        <w:jc w:val="both"/>
        <w:rPr>
          <w:sz w:val="19"/>
        </w:rPr>
      </w:pPr>
      <w:r>
        <w:rPr>
          <w:w w:val="105"/>
          <w:sz w:val="19"/>
        </w:rPr>
        <w:t>It is al</w:t>
      </w:r>
      <w:r>
        <w:rPr>
          <w:w w:val="105"/>
          <w:sz w:val="19"/>
        </w:rPr>
        <w:t>leged that the above schemes are subsidies since they involve a financial contribution from  the</w:t>
      </w:r>
      <w:r>
        <w:rPr>
          <w:spacing w:val="51"/>
          <w:w w:val="105"/>
          <w:sz w:val="19"/>
        </w:rPr>
        <w:t xml:space="preserve"> </w:t>
      </w:r>
      <w:r>
        <w:rPr>
          <w:w w:val="105"/>
          <w:sz w:val="19"/>
        </w:rPr>
        <w:t>Government of the PRC or other regional governments (including public bodies) and confer a benefit to the exporting producers of the product concerned. They ar</w:t>
      </w:r>
      <w:r>
        <w:rPr>
          <w:w w:val="105"/>
          <w:sz w:val="19"/>
        </w:rPr>
        <w:t>e alleged to be contingent upon  export  performance</w:t>
      </w:r>
      <w:r>
        <w:rPr>
          <w:spacing w:val="51"/>
          <w:w w:val="105"/>
          <w:sz w:val="19"/>
        </w:rPr>
        <w:t xml:space="preserve"> </w:t>
      </w:r>
      <w:r>
        <w:rPr>
          <w:w w:val="105"/>
          <w:sz w:val="19"/>
        </w:rPr>
        <w:t>and/or the use of domestic over imported goods and/or are limited to certain sectors and/or types of enterprises and/or locations, and are therefore specific and</w:t>
      </w:r>
      <w:r>
        <w:rPr>
          <w:spacing w:val="35"/>
          <w:w w:val="105"/>
          <w:sz w:val="19"/>
        </w:rPr>
        <w:t xml:space="preserve"> </w:t>
      </w:r>
      <w:r>
        <w:rPr>
          <w:w w:val="105"/>
          <w:sz w:val="19"/>
        </w:rPr>
        <w:t>countervailable.</w:t>
      </w:r>
    </w:p>
    <w:p w:rsidR="00EF33D9" w:rsidRDefault="00EF33D9">
      <w:pPr>
        <w:pStyle w:val="a3"/>
        <w:spacing w:before="4"/>
        <w:rPr>
          <w:sz w:val="24"/>
        </w:rPr>
      </w:pPr>
    </w:p>
    <w:p w:rsidR="00EF33D9" w:rsidRDefault="000D3E5C">
      <w:pPr>
        <w:pStyle w:val="a4"/>
        <w:numPr>
          <w:ilvl w:val="0"/>
          <w:numId w:val="4"/>
        </w:numPr>
        <w:tabs>
          <w:tab w:val="left" w:pos="645"/>
        </w:tabs>
        <w:spacing w:line="192" w:lineRule="auto"/>
        <w:ind w:right="105" w:hanging="537"/>
        <w:jc w:val="both"/>
        <w:rPr>
          <w:sz w:val="19"/>
        </w:rPr>
      </w:pPr>
      <w:r>
        <w:rPr>
          <w:w w:val="105"/>
          <w:sz w:val="19"/>
        </w:rPr>
        <w:t>Therefore, the availabl</w:t>
      </w:r>
      <w:r>
        <w:rPr>
          <w:w w:val="105"/>
          <w:sz w:val="19"/>
        </w:rPr>
        <w:t>e evidence at this stage shows that the exports of the product concerned are benefiting</w:t>
      </w:r>
      <w:r>
        <w:rPr>
          <w:spacing w:val="51"/>
          <w:w w:val="105"/>
          <w:sz w:val="19"/>
        </w:rPr>
        <w:t xml:space="preserve"> </w:t>
      </w:r>
      <w:r>
        <w:rPr>
          <w:w w:val="105"/>
          <w:sz w:val="19"/>
        </w:rPr>
        <w:t>from countervailable</w:t>
      </w:r>
      <w:r>
        <w:rPr>
          <w:spacing w:val="8"/>
          <w:w w:val="105"/>
          <w:sz w:val="19"/>
        </w:rPr>
        <w:t xml:space="preserve"> </w:t>
      </w:r>
      <w:r>
        <w:rPr>
          <w:w w:val="105"/>
          <w:sz w:val="19"/>
        </w:rPr>
        <w:t>subsidies.</w:t>
      </w:r>
    </w:p>
    <w:p w:rsidR="00EF33D9" w:rsidRDefault="00EF33D9">
      <w:pPr>
        <w:pStyle w:val="a3"/>
        <w:rPr>
          <w:sz w:val="24"/>
        </w:rPr>
      </w:pPr>
    </w:p>
    <w:p w:rsidR="00EF33D9" w:rsidRDefault="000D3E5C">
      <w:pPr>
        <w:pStyle w:val="a4"/>
        <w:numPr>
          <w:ilvl w:val="0"/>
          <w:numId w:val="4"/>
        </w:numPr>
        <w:tabs>
          <w:tab w:val="left" w:pos="645"/>
        </w:tabs>
        <w:spacing w:line="189" w:lineRule="auto"/>
        <w:ind w:hanging="537"/>
        <w:jc w:val="both"/>
        <w:rPr>
          <w:sz w:val="19"/>
        </w:rPr>
      </w:pPr>
      <w:r>
        <w:rPr>
          <w:w w:val="105"/>
          <w:sz w:val="19"/>
        </w:rPr>
        <w:t>Furthermore, the Commission has at its disposal sufficient evidence that the exporting producers'  subsidy practices are causing materi</w:t>
      </w:r>
      <w:r>
        <w:rPr>
          <w:w w:val="105"/>
          <w:sz w:val="19"/>
        </w:rPr>
        <w:t>al injury to the Union industry. In the complaint and the subsequent submissions related to the requests for registration, the evidence regarding the volume of imports shows a massive increase of imports in absolute terms and in terms of market share in th</w:t>
      </w:r>
      <w:r>
        <w:rPr>
          <w:w w:val="105"/>
          <w:sz w:val="19"/>
        </w:rPr>
        <w:t>e period between  2014 and the investigation period</w:t>
      </w:r>
      <w:r>
        <w:rPr>
          <w:spacing w:val="51"/>
          <w:w w:val="105"/>
          <w:sz w:val="19"/>
        </w:rPr>
        <w:t xml:space="preserve"> </w:t>
      </w:r>
      <w:r>
        <w:rPr>
          <w:w w:val="105"/>
          <w:sz w:val="19"/>
        </w:rPr>
        <w:t>as well as in recent months. Specifically, the evidence available shows that Chinese exporting producers have more than tripled the volume of the product concerned exported to the Union, from 219 thousand</w:t>
      </w:r>
      <w:r>
        <w:rPr>
          <w:w w:val="105"/>
          <w:sz w:val="19"/>
        </w:rPr>
        <w:t xml:space="preserve"> units to 703 thousand units (+ 484 thousand units), which resulted in a sharp increase of market share from 19,2 % to 33 %. Furthermore, as indicated in recital (22) above, the same trend continued between November 2017 and February 2018. Overall, the evi</w:t>
      </w:r>
      <w:r>
        <w:rPr>
          <w:w w:val="105"/>
          <w:sz w:val="19"/>
        </w:rPr>
        <w:t xml:space="preserve">dence shows that the massive increase of imports of electric bicycles from the PRC is resulting in substantial adverse effects on the situation of the Union industry including depressed levels of profit­ ability. The evidence concerning the injury factors </w:t>
      </w:r>
      <w:r>
        <w:rPr>
          <w:w w:val="105"/>
          <w:sz w:val="19"/>
        </w:rPr>
        <w:t>set out in Article 3(5) of the basic anti-dumping Regulation and Article 8(4) of the basic anti-subsidy Regulation consists of data contained in the complaints and the subsequent submissions regarding</w:t>
      </w:r>
      <w:r>
        <w:rPr>
          <w:spacing w:val="17"/>
          <w:w w:val="105"/>
          <w:sz w:val="19"/>
        </w:rPr>
        <w:t xml:space="preserve"> </w:t>
      </w:r>
      <w:r>
        <w:rPr>
          <w:w w:val="105"/>
          <w:sz w:val="19"/>
        </w:rPr>
        <w:t>registration.</w:t>
      </w:r>
    </w:p>
    <w:p w:rsidR="00EF33D9" w:rsidRDefault="00EF33D9">
      <w:pPr>
        <w:spacing w:line="189" w:lineRule="auto"/>
        <w:jc w:val="both"/>
        <w:rPr>
          <w:sz w:val="19"/>
        </w:rPr>
        <w:sectPr w:rsidR="00EF33D9">
          <w:pgSz w:w="11910" w:h="16840"/>
          <w:pgMar w:top="1380" w:right="1240" w:bottom="280" w:left="1240" w:header="967" w:footer="0" w:gutter="0"/>
          <w:cols w:space="720"/>
        </w:sectPr>
      </w:pPr>
    </w:p>
    <w:p w:rsidR="00EF33D9" w:rsidRDefault="000D3E5C">
      <w:pPr>
        <w:pStyle w:val="a4"/>
        <w:numPr>
          <w:ilvl w:val="0"/>
          <w:numId w:val="4"/>
        </w:numPr>
        <w:tabs>
          <w:tab w:val="left" w:pos="645"/>
        </w:tabs>
        <w:spacing w:before="122" w:line="189" w:lineRule="auto"/>
        <w:ind w:hanging="537"/>
        <w:jc w:val="both"/>
        <w:rPr>
          <w:sz w:val="19"/>
        </w:rPr>
      </w:pPr>
      <w:r>
        <w:rPr>
          <w:w w:val="105"/>
          <w:sz w:val="19"/>
        </w:rPr>
        <w:lastRenderedPageBreak/>
        <w:t>In addition, the Commis</w:t>
      </w:r>
      <w:r>
        <w:rPr>
          <w:w w:val="105"/>
          <w:sz w:val="19"/>
        </w:rPr>
        <w:t>sion assessed at this stage whether the injury suffered was difficult to repair. Once Chinese suppliers are integrated into the supply chains of the customers of the Union industry, the latter may be reluctant to switch suppliers in favour of Union produce</w:t>
      </w:r>
      <w:r>
        <w:rPr>
          <w:w w:val="105"/>
          <w:sz w:val="19"/>
        </w:rPr>
        <w:t>rs. In addition, the customers of the Union Industry are unlikely to accept higher prices from the Union industry even if, hypothetically, the Commission were to impose countervailing measures without retroactive effect in the future. Such threat of perman</w:t>
      </w:r>
      <w:r>
        <w:rPr>
          <w:w w:val="105"/>
          <w:sz w:val="19"/>
        </w:rPr>
        <w:t>ent loss of market share or reduced income constitutes an injury which is difficult to</w:t>
      </w:r>
      <w:r>
        <w:rPr>
          <w:spacing w:val="39"/>
          <w:w w:val="105"/>
          <w:sz w:val="19"/>
        </w:rPr>
        <w:t xml:space="preserve"> </w:t>
      </w:r>
      <w:r>
        <w:rPr>
          <w:w w:val="105"/>
          <w:sz w:val="19"/>
        </w:rPr>
        <w:t>repair.</w:t>
      </w:r>
    </w:p>
    <w:p w:rsidR="00EF33D9" w:rsidRDefault="00EF33D9">
      <w:pPr>
        <w:pStyle w:val="a3"/>
        <w:spacing w:before="12"/>
        <w:rPr>
          <w:sz w:val="23"/>
        </w:rPr>
      </w:pPr>
    </w:p>
    <w:p w:rsidR="00EF33D9" w:rsidRDefault="000D3E5C">
      <w:pPr>
        <w:pStyle w:val="1"/>
        <w:numPr>
          <w:ilvl w:val="1"/>
          <w:numId w:val="2"/>
        </w:numPr>
        <w:tabs>
          <w:tab w:val="left" w:pos="1040"/>
        </w:tabs>
      </w:pPr>
      <w:r>
        <w:t>Preclusion of recurrence of</w:t>
      </w:r>
      <w:r>
        <w:rPr>
          <w:spacing w:val="39"/>
        </w:rPr>
        <w:t xml:space="preserve"> </w:t>
      </w:r>
      <w:r>
        <w:t>injury</w:t>
      </w:r>
    </w:p>
    <w:p w:rsidR="00EF33D9" w:rsidRDefault="00EF33D9">
      <w:pPr>
        <w:pStyle w:val="a3"/>
        <w:spacing w:before="11"/>
        <w:rPr>
          <w:rFonts w:ascii="Book Antiqua"/>
          <w:b/>
          <w:sz w:val="18"/>
        </w:rPr>
      </w:pPr>
    </w:p>
    <w:p w:rsidR="00EF33D9" w:rsidRDefault="000D3E5C">
      <w:pPr>
        <w:pStyle w:val="a4"/>
        <w:numPr>
          <w:ilvl w:val="0"/>
          <w:numId w:val="4"/>
        </w:numPr>
        <w:tabs>
          <w:tab w:val="left" w:pos="645"/>
        </w:tabs>
        <w:spacing w:line="192" w:lineRule="auto"/>
        <w:ind w:right="105" w:hanging="537"/>
        <w:jc w:val="both"/>
        <w:rPr>
          <w:sz w:val="19"/>
        </w:rPr>
      </w:pPr>
      <w:r>
        <w:rPr>
          <w:w w:val="105"/>
          <w:sz w:val="19"/>
        </w:rPr>
        <w:t>Finally, given the data set out in recital (39) and the considerations laid down in recital (40), the Commission deemed it n</w:t>
      </w:r>
      <w:r>
        <w:rPr>
          <w:w w:val="105"/>
          <w:sz w:val="19"/>
        </w:rPr>
        <w:t>ecessary to prepare the potential retroactive imposition of measures by imposing registration in order to preclude the recurrence of such</w:t>
      </w:r>
      <w:r>
        <w:rPr>
          <w:spacing w:val="27"/>
          <w:w w:val="105"/>
          <w:sz w:val="19"/>
        </w:rPr>
        <w:t xml:space="preserve"> </w:t>
      </w:r>
      <w:r>
        <w:rPr>
          <w:w w:val="105"/>
          <w:sz w:val="19"/>
        </w:rPr>
        <w:t>injury.</w:t>
      </w:r>
    </w:p>
    <w:p w:rsidR="00EF33D9" w:rsidRDefault="00EF33D9">
      <w:pPr>
        <w:pStyle w:val="a3"/>
        <w:spacing w:before="2"/>
        <w:rPr>
          <w:sz w:val="23"/>
        </w:rPr>
      </w:pPr>
    </w:p>
    <w:p w:rsidR="00EF33D9" w:rsidRDefault="000D3E5C">
      <w:pPr>
        <w:pStyle w:val="a4"/>
        <w:numPr>
          <w:ilvl w:val="0"/>
          <w:numId w:val="3"/>
        </w:numPr>
        <w:tabs>
          <w:tab w:val="left" w:pos="4608"/>
        </w:tabs>
        <w:spacing w:before="1"/>
        <w:ind w:left="4607" w:right="0"/>
        <w:jc w:val="left"/>
        <w:rPr>
          <w:rFonts w:ascii="Book Antiqua"/>
          <w:b/>
          <w:sz w:val="17"/>
        </w:rPr>
      </w:pPr>
      <w:r>
        <w:rPr>
          <w:rFonts w:ascii="Book Antiqua"/>
          <w:b/>
          <w:sz w:val="17"/>
        </w:rPr>
        <w:t>PROCEDURE</w:t>
      </w:r>
    </w:p>
    <w:p w:rsidR="00EF33D9" w:rsidRDefault="00EF33D9">
      <w:pPr>
        <w:pStyle w:val="a3"/>
        <w:spacing w:before="10"/>
        <w:rPr>
          <w:rFonts w:ascii="Book Antiqua"/>
          <w:b/>
          <w:sz w:val="18"/>
        </w:rPr>
      </w:pPr>
    </w:p>
    <w:p w:rsidR="00EF33D9" w:rsidRDefault="000D3E5C">
      <w:pPr>
        <w:pStyle w:val="a4"/>
        <w:numPr>
          <w:ilvl w:val="0"/>
          <w:numId w:val="4"/>
        </w:numPr>
        <w:tabs>
          <w:tab w:val="left" w:pos="645"/>
        </w:tabs>
        <w:spacing w:before="1" w:line="192" w:lineRule="auto"/>
        <w:ind w:hanging="537"/>
        <w:jc w:val="both"/>
        <w:rPr>
          <w:sz w:val="19"/>
        </w:rPr>
      </w:pPr>
      <w:r>
        <w:rPr>
          <w:w w:val="105"/>
          <w:sz w:val="19"/>
        </w:rPr>
        <w:t>Therefore, the Commission has concluded that there is sufficient evidence to justify making the imports of the product concerned subject to registration in accordance with Article 14(5) of the basic anti-dumping Regulation and with Article 24(5) of the bas</w:t>
      </w:r>
      <w:r>
        <w:rPr>
          <w:w w:val="105"/>
          <w:sz w:val="19"/>
        </w:rPr>
        <w:t>ic anti-subsidy</w:t>
      </w:r>
      <w:r>
        <w:rPr>
          <w:spacing w:val="41"/>
          <w:w w:val="105"/>
          <w:sz w:val="19"/>
        </w:rPr>
        <w:t xml:space="preserve"> </w:t>
      </w:r>
      <w:r>
        <w:rPr>
          <w:w w:val="105"/>
          <w:sz w:val="19"/>
        </w:rPr>
        <w:t>Regulation.</w:t>
      </w:r>
    </w:p>
    <w:p w:rsidR="00EF33D9" w:rsidRDefault="00EF33D9">
      <w:pPr>
        <w:pStyle w:val="a3"/>
        <w:spacing w:before="5"/>
        <w:rPr>
          <w:sz w:val="17"/>
        </w:rPr>
      </w:pPr>
    </w:p>
    <w:p w:rsidR="00EF33D9" w:rsidRDefault="000D3E5C">
      <w:pPr>
        <w:pStyle w:val="a4"/>
        <w:numPr>
          <w:ilvl w:val="0"/>
          <w:numId w:val="4"/>
        </w:numPr>
        <w:tabs>
          <w:tab w:val="left" w:pos="645"/>
        </w:tabs>
        <w:spacing w:line="189" w:lineRule="auto"/>
        <w:ind w:hanging="537"/>
        <w:jc w:val="both"/>
        <w:rPr>
          <w:sz w:val="19"/>
        </w:rPr>
      </w:pPr>
      <w:r>
        <w:rPr>
          <w:w w:val="105"/>
          <w:sz w:val="19"/>
        </w:rPr>
        <w:t xml:space="preserve">All interested parties are invited to make their views known in writing and to provide supporting evidence. Furthermore, the Commission may hear  interested parties, provided that they make a request in writing and   show that </w:t>
      </w:r>
      <w:r>
        <w:rPr>
          <w:w w:val="105"/>
          <w:sz w:val="19"/>
        </w:rPr>
        <w:t>there are particular reasons why they should be</w:t>
      </w:r>
      <w:r>
        <w:rPr>
          <w:spacing w:val="6"/>
          <w:w w:val="105"/>
          <w:sz w:val="19"/>
        </w:rPr>
        <w:t xml:space="preserve"> </w:t>
      </w:r>
      <w:r>
        <w:rPr>
          <w:w w:val="105"/>
          <w:sz w:val="19"/>
        </w:rPr>
        <w:t>heard.</w:t>
      </w:r>
    </w:p>
    <w:p w:rsidR="00EF33D9" w:rsidRDefault="00EF33D9">
      <w:pPr>
        <w:pStyle w:val="a3"/>
        <w:spacing w:before="8"/>
        <w:rPr>
          <w:sz w:val="23"/>
        </w:rPr>
      </w:pPr>
    </w:p>
    <w:p w:rsidR="00EF33D9" w:rsidRDefault="000D3E5C">
      <w:pPr>
        <w:pStyle w:val="a4"/>
        <w:numPr>
          <w:ilvl w:val="0"/>
          <w:numId w:val="3"/>
        </w:numPr>
        <w:tabs>
          <w:tab w:val="left" w:pos="4497"/>
        </w:tabs>
        <w:spacing w:before="1"/>
        <w:ind w:left="4496" w:right="0"/>
        <w:jc w:val="left"/>
        <w:rPr>
          <w:rFonts w:ascii="Book Antiqua"/>
          <w:b/>
          <w:sz w:val="17"/>
        </w:rPr>
      </w:pPr>
      <w:r>
        <w:rPr>
          <w:rFonts w:ascii="Book Antiqua"/>
          <w:b/>
          <w:sz w:val="17"/>
        </w:rPr>
        <w:t>REGISTRATION</w:t>
      </w:r>
    </w:p>
    <w:p w:rsidR="00EF33D9" w:rsidRDefault="00EF33D9">
      <w:pPr>
        <w:pStyle w:val="a3"/>
        <w:spacing w:before="11"/>
        <w:rPr>
          <w:rFonts w:ascii="Book Antiqua"/>
          <w:b/>
          <w:sz w:val="18"/>
        </w:rPr>
      </w:pPr>
    </w:p>
    <w:p w:rsidR="00EF33D9" w:rsidRDefault="000D3E5C">
      <w:pPr>
        <w:pStyle w:val="a4"/>
        <w:numPr>
          <w:ilvl w:val="0"/>
          <w:numId w:val="4"/>
        </w:numPr>
        <w:tabs>
          <w:tab w:val="left" w:pos="645"/>
        </w:tabs>
        <w:spacing w:before="1" w:line="189" w:lineRule="auto"/>
        <w:ind w:hanging="537"/>
        <w:jc w:val="both"/>
        <w:rPr>
          <w:sz w:val="19"/>
        </w:rPr>
      </w:pPr>
      <w:r>
        <w:rPr>
          <w:w w:val="105"/>
          <w:sz w:val="19"/>
        </w:rPr>
        <w:t>Pursuant to Article 14(5) of the basic anti-dumping Regulation and Article 24(5) of the basic anti-subsidy Regulation imports of the product concerned should be made subject to registration for the purpose of ensuring that, should the investigations result</w:t>
      </w:r>
      <w:r>
        <w:rPr>
          <w:w w:val="105"/>
          <w:sz w:val="19"/>
        </w:rPr>
        <w:t xml:space="preserve"> in findings leading to the imposition of anti-dumping and/or countervailing duties, those duties can, if the necessary conditions are fulfilled, be levied retroactively on the registered imports in accordance with the applicable legal</w:t>
      </w:r>
      <w:r>
        <w:rPr>
          <w:spacing w:val="29"/>
          <w:w w:val="105"/>
          <w:sz w:val="19"/>
        </w:rPr>
        <w:t xml:space="preserve"> </w:t>
      </w:r>
      <w:r>
        <w:rPr>
          <w:w w:val="105"/>
          <w:sz w:val="19"/>
        </w:rPr>
        <w:t>provisions.</w:t>
      </w:r>
    </w:p>
    <w:p w:rsidR="00EF33D9" w:rsidRDefault="00EF33D9">
      <w:pPr>
        <w:pStyle w:val="a3"/>
        <w:spacing w:before="13"/>
        <w:rPr>
          <w:sz w:val="17"/>
        </w:rPr>
      </w:pPr>
    </w:p>
    <w:p w:rsidR="00EF33D9" w:rsidRDefault="000D3E5C">
      <w:pPr>
        <w:pStyle w:val="a4"/>
        <w:numPr>
          <w:ilvl w:val="0"/>
          <w:numId w:val="4"/>
        </w:numPr>
        <w:tabs>
          <w:tab w:val="left" w:pos="645"/>
        </w:tabs>
        <w:spacing w:line="189" w:lineRule="auto"/>
        <w:ind w:right="103" w:hanging="537"/>
        <w:jc w:val="both"/>
        <w:rPr>
          <w:sz w:val="19"/>
        </w:rPr>
      </w:pPr>
      <w:r>
        <w:rPr>
          <w:w w:val="105"/>
          <w:sz w:val="19"/>
        </w:rPr>
        <w:t>Any fut</w:t>
      </w:r>
      <w:r>
        <w:rPr>
          <w:w w:val="105"/>
          <w:sz w:val="19"/>
        </w:rPr>
        <w:t>ure liability would emanate from the findings of the anti-dumping and the anti-subsidy investigations respectively.</w:t>
      </w:r>
    </w:p>
    <w:p w:rsidR="00EF33D9" w:rsidRDefault="00EF33D9">
      <w:pPr>
        <w:pStyle w:val="a3"/>
        <w:spacing w:before="7"/>
        <w:rPr>
          <w:sz w:val="17"/>
        </w:rPr>
      </w:pPr>
    </w:p>
    <w:p w:rsidR="00EF33D9" w:rsidRDefault="000D3E5C">
      <w:pPr>
        <w:pStyle w:val="a4"/>
        <w:numPr>
          <w:ilvl w:val="0"/>
          <w:numId w:val="4"/>
        </w:numPr>
        <w:tabs>
          <w:tab w:val="left" w:pos="645"/>
        </w:tabs>
        <w:spacing w:line="192" w:lineRule="auto"/>
        <w:ind w:right="103" w:hanging="537"/>
        <w:jc w:val="both"/>
        <w:rPr>
          <w:sz w:val="19"/>
        </w:rPr>
      </w:pPr>
      <w:r>
        <w:rPr>
          <w:w w:val="105"/>
          <w:sz w:val="19"/>
        </w:rPr>
        <w:t xml:space="preserve">The allegations in the complaint requesting the initiation of an anti-dumping investigation estimate an average dumping margin of from 193 % to 430 % and an average injury elimination level of 189 % for the product concerned. The amount of possible future </w:t>
      </w:r>
      <w:r>
        <w:rPr>
          <w:w w:val="105"/>
          <w:sz w:val="19"/>
        </w:rPr>
        <w:t xml:space="preserve">liability is set at the level of the injury elimination level estimated on the basis of the complaint, namely 189 % </w:t>
      </w:r>
      <w:r>
        <w:rPr>
          <w:rFonts w:ascii="Cambria"/>
          <w:i/>
          <w:w w:val="105"/>
          <w:sz w:val="19"/>
        </w:rPr>
        <w:t xml:space="preserve">ad valorem </w:t>
      </w:r>
      <w:r>
        <w:rPr>
          <w:w w:val="105"/>
          <w:sz w:val="19"/>
        </w:rPr>
        <w:t>on the CIF import value of the product</w:t>
      </w:r>
      <w:r>
        <w:rPr>
          <w:spacing w:val="7"/>
          <w:w w:val="105"/>
          <w:sz w:val="19"/>
        </w:rPr>
        <w:t xml:space="preserve"> </w:t>
      </w:r>
      <w:r>
        <w:rPr>
          <w:w w:val="105"/>
          <w:sz w:val="19"/>
        </w:rPr>
        <w:t>concerned.</w:t>
      </w:r>
    </w:p>
    <w:p w:rsidR="00EF33D9" w:rsidRDefault="00EF33D9">
      <w:pPr>
        <w:pStyle w:val="a3"/>
        <w:spacing w:before="3"/>
        <w:rPr>
          <w:sz w:val="17"/>
        </w:rPr>
      </w:pPr>
    </w:p>
    <w:p w:rsidR="00EF33D9" w:rsidRDefault="000D3E5C">
      <w:pPr>
        <w:pStyle w:val="a4"/>
        <w:numPr>
          <w:ilvl w:val="0"/>
          <w:numId w:val="4"/>
        </w:numPr>
        <w:tabs>
          <w:tab w:val="left" w:pos="645"/>
        </w:tabs>
        <w:spacing w:before="1" w:line="189" w:lineRule="auto"/>
        <w:ind w:right="102" w:hanging="537"/>
        <w:jc w:val="both"/>
        <w:rPr>
          <w:sz w:val="19"/>
        </w:rPr>
      </w:pPr>
      <w:r>
        <w:rPr>
          <w:w w:val="105"/>
          <w:sz w:val="19"/>
        </w:rPr>
        <w:t xml:space="preserve">At this stage of the investigation is not yet possible to estimate the amount </w:t>
      </w:r>
      <w:r>
        <w:rPr>
          <w:w w:val="105"/>
          <w:sz w:val="19"/>
        </w:rPr>
        <w:t xml:space="preserve">of subsidisation.The allegations in the complaint requesting the initiation of an anti-subsidy investigation estimate the injury elimination level to represent 189 % for the product concerned. The amount of possible future liability is set at the level of </w:t>
      </w:r>
      <w:r>
        <w:rPr>
          <w:w w:val="105"/>
          <w:sz w:val="19"/>
        </w:rPr>
        <w:t xml:space="preserve">the injury elimination level estimated on the basis of the anti-subsidy complaint, namely 189 % </w:t>
      </w:r>
      <w:r>
        <w:rPr>
          <w:rFonts w:ascii="Cambria"/>
          <w:i/>
          <w:w w:val="105"/>
          <w:sz w:val="19"/>
        </w:rPr>
        <w:t xml:space="preserve">ad valorem </w:t>
      </w:r>
      <w:r>
        <w:rPr>
          <w:w w:val="105"/>
          <w:sz w:val="19"/>
        </w:rPr>
        <w:t>on the CIF import value of the product</w:t>
      </w:r>
      <w:r>
        <w:rPr>
          <w:spacing w:val="31"/>
          <w:w w:val="105"/>
          <w:sz w:val="19"/>
        </w:rPr>
        <w:t xml:space="preserve"> </w:t>
      </w:r>
      <w:r>
        <w:rPr>
          <w:w w:val="105"/>
          <w:sz w:val="19"/>
        </w:rPr>
        <w:t>concerned.</w:t>
      </w:r>
    </w:p>
    <w:p w:rsidR="00EF33D9" w:rsidRDefault="00EF33D9">
      <w:pPr>
        <w:pStyle w:val="a3"/>
        <w:spacing w:before="10"/>
        <w:rPr>
          <w:sz w:val="23"/>
        </w:rPr>
      </w:pPr>
    </w:p>
    <w:p w:rsidR="00EF33D9" w:rsidRDefault="000D3E5C">
      <w:pPr>
        <w:pStyle w:val="a4"/>
        <w:numPr>
          <w:ilvl w:val="0"/>
          <w:numId w:val="3"/>
        </w:numPr>
        <w:tabs>
          <w:tab w:val="left" w:pos="3756"/>
        </w:tabs>
        <w:ind w:left="3755" w:right="0" w:hanging="250"/>
        <w:jc w:val="left"/>
        <w:rPr>
          <w:rFonts w:ascii="Book Antiqua"/>
          <w:b/>
          <w:sz w:val="17"/>
        </w:rPr>
      </w:pPr>
      <w:r>
        <w:rPr>
          <w:rFonts w:ascii="Book Antiqua"/>
          <w:b/>
          <w:sz w:val="17"/>
        </w:rPr>
        <w:t>PROCESSING OF PERSONAL</w:t>
      </w:r>
      <w:r>
        <w:rPr>
          <w:rFonts w:ascii="Book Antiqua"/>
          <w:b/>
          <w:spacing w:val="9"/>
          <w:sz w:val="17"/>
        </w:rPr>
        <w:t xml:space="preserve"> </w:t>
      </w:r>
      <w:r>
        <w:rPr>
          <w:rFonts w:ascii="Book Antiqua"/>
          <w:b/>
          <w:spacing w:val="-5"/>
          <w:sz w:val="17"/>
        </w:rPr>
        <w:t>DATA</w:t>
      </w:r>
    </w:p>
    <w:p w:rsidR="00EF33D9" w:rsidRDefault="00EF33D9">
      <w:pPr>
        <w:pStyle w:val="a3"/>
        <w:spacing w:before="1"/>
        <w:rPr>
          <w:rFonts w:ascii="Book Antiqua"/>
          <w:b/>
        </w:rPr>
      </w:pPr>
    </w:p>
    <w:p w:rsidR="00EF33D9" w:rsidRDefault="000D3E5C">
      <w:pPr>
        <w:pStyle w:val="a4"/>
        <w:numPr>
          <w:ilvl w:val="0"/>
          <w:numId w:val="4"/>
        </w:numPr>
        <w:tabs>
          <w:tab w:val="left" w:pos="645"/>
        </w:tabs>
        <w:spacing w:line="189" w:lineRule="auto"/>
        <w:ind w:hanging="537"/>
        <w:jc w:val="both"/>
        <w:rPr>
          <w:sz w:val="19"/>
        </w:rPr>
      </w:pPr>
      <w:r>
        <w:rPr>
          <w:w w:val="105"/>
          <w:sz w:val="19"/>
        </w:rPr>
        <w:t xml:space="preserve">Any personal data collected in the context of this registration will </w:t>
      </w:r>
      <w:r>
        <w:rPr>
          <w:w w:val="105"/>
          <w:sz w:val="19"/>
        </w:rPr>
        <w:t>be treated in accordance with Regulation (EC) No 45/2001 of the European Parliament and of the Council of 18 December 2000 on the  protection  of  individuals with regard to the processing of personal data by the Community institutions and bodies and on th</w:t>
      </w:r>
      <w:r>
        <w:rPr>
          <w:w w:val="105"/>
          <w:sz w:val="19"/>
        </w:rPr>
        <w:t>e free movement of such data</w:t>
      </w:r>
      <w:r>
        <w:rPr>
          <w:spacing w:val="28"/>
          <w:w w:val="105"/>
          <w:sz w:val="19"/>
        </w:rPr>
        <w:t xml:space="preserve"> </w:t>
      </w:r>
      <w:r>
        <w:rPr>
          <w:w w:val="105"/>
          <w:sz w:val="19"/>
        </w:rPr>
        <w:t>(</w:t>
      </w:r>
      <w:r>
        <w:rPr>
          <w:w w:val="105"/>
          <w:position w:val="6"/>
          <w:sz w:val="10"/>
        </w:rPr>
        <w:t>1</w:t>
      </w:r>
      <w:r>
        <w:rPr>
          <w:w w:val="105"/>
          <w:sz w:val="19"/>
        </w:rPr>
        <w:t>),</w:t>
      </w:r>
    </w:p>
    <w:p w:rsidR="00EF33D9" w:rsidRDefault="00EF33D9">
      <w:pPr>
        <w:pStyle w:val="a3"/>
        <w:spacing w:before="12"/>
        <w:rPr>
          <w:sz w:val="26"/>
        </w:rPr>
      </w:pPr>
    </w:p>
    <w:p w:rsidR="00EF33D9" w:rsidRDefault="000D3E5C">
      <w:pPr>
        <w:ind w:left="107"/>
        <w:jc w:val="both"/>
        <w:rPr>
          <w:sz w:val="17"/>
        </w:rPr>
      </w:pPr>
      <w:r>
        <w:rPr>
          <w:sz w:val="17"/>
        </w:rPr>
        <w:t>HAS ADOPTED THIS REGULATION:</w:t>
      </w:r>
    </w:p>
    <w:p w:rsidR="00EF33D9" w:rsidRDefault="00EF33D9">
      <w:pPr>
        <w:pStyle w:val="a3"/>
        <w:rPr>
          <w:sz w:val="26"/>
        </w:rPr>
      </w:pPr>
    </w:p>
    <w:p w:rsidR="00EF33D9" w:rsidRDefault="000D3E5C">
      <w:pPr>
        <w:ind w:left="4403"/>
        <w:rPr>
          <w:rFonts w:ascii="Cambria"/>
          <w:i/>
          <w:sz w:val="19"/>
        </w:rPr>
      </w:pPr>
      <w:r>
        <w:rPr>
          <w:rFonts w:ascii="Cambria"/>
          <w:i/>
          <w:sz w:val="19"/>
        </w:rPr>
        <w:t>Article 1</w:t>
      </w:r>
    </w:p>
    <w:p w:rsidR="00EF33D9" w:rsidRDefault="00EF33D9">
      <w:pPr>
        <w:pStyle w:val="a3"/>
        <w:spacing w:before="4"/>
        <w:rPr>
          <w:rFonts w:ascii="Cambria"/>
          <w:i/>
          <w:sz w:val="22"/>
        </w:rPr>
      </w:pPr>
    </w:p>
    <w:p w:rsidR="00EF33D9" w:rsidRDefault="000D3E5C">
      <w:pPr>
        <w:pStyle w:val="a4"/>
        <w:numPr>
          <w:ilvl w:val="0"/>
          <w:numId w:val="1"/>
        </w:numPr>
        <w:tabs>
          <w:tab w:val="left" w:pos="540"/>
        </w:tabs>
        <w:spacing w:line="192" w:lineRule="auto"/>
        <w:ind w:right="105" w:firstLine="0"/>
        <w:jc w:val="both"/>
        <w:rPr>
          <w:sz w:val="19"/>
        </w:rPr>
      </w:pPr>
      <w:r>
        <w:rPr>
          <w:w w:val="105"/>
          <w:sz w:val="19"/>
        </w:rPr>
        <w:t xml:space="preserve">The customs authorities are hereby directed, pursuant to Article 14(5)  of  Regulation  (EU)  2016/1036  and  Article 24(5) of Regulation (EU) 2016/1037, to take the appropriate steps to register imports into the Union of cycles, with  pedal  assistance,  </w:t>
      </w:r>
      <w:r>
        <w:rPr>
          <w:w w:val="105"/>
          <w:sz w:val="19"/>
        </w:rPr>
        <w:t>with  an  auxiliary  electric  motor,  currently  falling   within  CN  codes  8711 60 10  and       ex</w:t>
      </w:r>
      <w:r>
        <w:rPr>
          <w:spacing w:val="4"/>
          <w:w w:val="105"/>
          <w:sz w:val="19"/>
        </w:rPr>
        <w:t xml:space="preserve"> </w:t>
      </w:r>
      <w:r>
        <w:rPr>
          <w:w w:val="105"/>
          <w:sz w:val="19"/>
        </w:rPr>
        <w:t>8711</w:t>
      </w:r>
      <w:r>
        <w:rPr>
          <w:spacing w:val="13"/>
          <w:w w:val="105"/>
          <w:sz w:val="19"/>
        </w:rPr>
        <w:t xml:space="preserve"> </w:t>
      </w:r>
      <w:r>
        <w:rPr>
          <w:w w:val="105"/>
          <w:sz w:val="19"/>
        </w:rPr>
        <w:t>60</w:t>
      </w:r>
      <w:r>
        <w:rPr>
          <w:spacing w:val="12"/>
          <w:w w:val="105"/>
          <w:sz w:val="19"/>
        </w:rPr>
        <w:t xml:space="preserve"> </w:t>
      </w:r>
      <w:r>
        <w:rPr>
          <w:w w:val="105"/>
          <w:sz w:val="19"/>
        </w:rPr>
        <w:t>90</w:t>
      </w:r>
      <w:r>
        <w:rPr>
          <w:spacing w:val="5"/>
          <w:w w:val="105"/>
          <w:sz w:val="19"/>
        </w:rPr>
        <w:t xml:space="preserve"> </w:t>
      </w:r>
      <w:r>
        <w:rPr>
          <w:w w:val="105"/>
          <w:sz w:val="19"/>
        </w:rPr>
        <w:t>(TARIC</w:t>
      </w:r>
      <w:r>
        <w:rPr>
          <w:spacing w:val="5"/>
          <w:w w:val="105"/>
          <w:sz w:val="19"/>
        </w:rPr>
        <w:t xml:space="preserve"> </w:t>
      </w:r>
      <w:r>
        <w:rPr>
          <w:w w:val="105"/>
          <w:sz w:val="19"/>
        </w:rPr>
        <w:t>code</w:t>
      </w:r>
      <w:r>
        <w:rPr>
          <w:spacing w:val="6"/>
          <w:w w:val="105"/>
          <w:sz w:val="19"/>
        </w:rPr>
        <w:t xml:space="preserve"> </w:t>
      </w:r>
      <w:r>
        <w:rPr>
          <w:w w:val="105"/>
          <w:sz w:val="19"/>
        </w:rPr>
        <w:t>8711</w:t>
      </w:r>
      <w:r>
        <w:rPr>
          <w:spacing w:val="11"/>
          <w:w w:val="105"/>
          <w:sz w:val="19"/>
        </w:rPr>
        <w:t xml:space="preserve"> </w:t>
      </w:r>
      <w:r>
        <w:rPr>
          <w:w w:val="105"/>
          <w:sz w:val="19"/>
        </w:rPr>
        <w:t>60</w:t>
      </w:r>
      <w:r>
        <w:rPr>
          <w:spacing w:val="12"/>
          <w:w w:val="105"/>
          <w:sz w:val="19"/>
        </w:rPr>
        <w:t xml:space="preserve"> </w:t>
      </w:r>
      <w:r>
        <w:rPr>
          <w:w w:val="105"/>
          <w:sz w:val="19"/>
        </w:rPr>
        <w:t>90</w:t>
      </w:r>
      <w:r>
        <w:rPr>
          <w:spacing w:val="12"/>
          <w:w w:val="105"/>
          <w:sz w:val="19"/>
        </w:rPr>
        <w:t xml:space="preserve"> </w:t>
      </w:r>
      <w:r>
        <w:rPr>
          <w:w w:val="105"/>
          <w:sz w:val="19"/>
        </w:rPr>
        <w:t>10)</w:t>
      </w:r>
      <w:r>
        <w:rPr>
          <w:spacing w:val="5"/>
          <w:w w:val="105"/>
          <w:sz w:val="19"/>
        </w:rPr>
        <w:t xml:space="preserve"> </w:t>
      </w:r>
      <w:r>
        <w:rPr>
          <w:w w:val="105"/>
          <w:sz w:val="19"/>
        </w:rPr>
        <w:t>and</w:t>
      </w:r>
      <w:r>
        <w:rPr>
          <w:spacing w:val="6"/>
          <w:w w:val="105"/>
          <w:sz w:val="19"/>
        </w:rPr>
        <w:t xml:space="preserve"> </w:t>
      </w:r>
      <w:r>
        <w:rPr>
          <w:w w:val="105"/>
          <w:sz w:val="19"/>
        </w:rPr>
        <w:t>originating</w:t>
      </w:r>
      <w:r>
        <w:rPr>
          <w:spacing w:val="6"/>
          <w:w w:val="105"/>
          <w:sz w:val="19"/>
        </w:rPr>
        <w:t xml:space="preserve"> </w:t>
      </w:r>
      <w:r>
        <w:rPr>
          <w:w w:val="105"/>
          <w:sz w:val="19"/>
        </w:rPr>
        <w:t>in</w:t>
      </w:r>
      <w:r>
        <w:rPr>
          <w:spacing w:val="5"/>
          <w:w w:val="105"/>
          <w:sz w:val="19"/>
        </w:rPr>
        <w:t xml:space="preserve"> </w:t>
      </w:r>
      <w:r>
        <w:rPr>
          <w:w w:val="105"/>
          <w:sz w:val="19"/>
        </w:rPr>
        <w:t>the</w:t>
      </w:r>
      <w:r>
        <w:rPr>
          <w:spacing w:val="6"/>
          <w:w w:val="105"/>
          <w:sz w:val="19"/>
        </w:rPr>
        <w:t xml:space="preserve"> </w:t>
      </w:r>
      <w:r>
        <w:rPr>
          <w:w w:val="105"/>
          <w:sz w:val="19"/>
        </w:rPr>
        <w:t>People's</w:t>
      </w:r>
      <w:r>
        <w:rPr>
          <w:spacing w:val="6"/>
          <w:w w:val="105"/>
          <w:sz w:val="19"/>
        </w:rPr>
        <w:t xml:space="preserve"> </w:t>
      </w:r>
      <w:r>
        <w:rPr>
          <w:w w:val="105"/>
          <w:sz w:val="19"/>
        </w:rPr>
        <w:t>Republic</w:t>
      </w:r>
      <w:r>
        <w:rPr>
          <w:spacing w:val="6"/>
          <w:w w:val="105"/>
          <w:sz w:val="19"/>
        </w:rPr>
        <w:t xml:space="preserve"> </w:t>
      </w:r>
      <w:r>
        <w:rPr>
          <w:w w:val="105"/>
          <w:sz w:val="19"/>
        </w:rPr>
        <w:t>of</w:t>
      </w:r>
      <w:r>
        <w:rPr>
          <w:spacing w:val="6"/>
          <w:w w:val="105"/>
          <w:sz w:val="19"/>
        </w:rPr>
        <w:t xml:space="preserve"> </w:t>
      </w:r>
      <w:r>
        <w:rPr>
          <w:w w:val="105"/>
          <w:sz w:val="19"/>
        </w:rPr>
        <w:t>China.</w:t>
      </w:r>
    </w:p>
    <w:p w:rsidR="00EF33D9" w:rsidRDefault="00706179">
      <w:pPr>
        <w:pStyle w:val="a3"/>
        <w:spacing w:before="13"/>
        <w:rPr>
          <w:sz w:val="8"/>
        </w:rPr>
      </w:pPr>
      <w:r>
        <w:rPr>
          <w:noProof/>
        </w:rPr>
        <mc:AlternateContent>
          <mc:Choice Requires="wps">
            <w:drawing>
              <wp:anchor distT="0" distB="0" distL="0" distR="0" simplePos="0" relativeHeight="251657728" behindDoc="1" locked="0" layoutInCell="1" allowOverlap="1">
                <wp:simplePos x="0" y="0"/>
                <wp:positionH relativeFrom="page">
                  <wp:posOffset>855345</wp:posOffset>
                </wp:positionH>
                <wp:positionV relativeFrom="paragraph">
                  <wp:posOffset>108585</wp:posOffset>
                </wp:positionV>
                <wp:extent cx="652780" cy="0"/>
                <wp:effectExtent l="7620" t="8890" r="6350" b="10160"/>
                <wp:wrapTopAndBottom/>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0"/>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48DE"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35pt,8.55pt" to="118.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" strokeweight=".18mm">
                <w10:wrap type="topAndBottom" anchorx="page"/>
              </v:line>
            </w:pict>
          </mc:Fallback>
        </mc:AlternateContent>
      </w:r>
    </w:p>
    <w:p w:rsidR="00EF33D9" w:rsidRDefault="000D3E5C">
      <w:pPr>
        <w:spacing w:before="14"/>
        <w:ind w:left="107"/>
        <w:rPr>
          <w:sz w:val="17"/>
        </w:rPr>
      </w:pPr>
      <w:r>
        <w:rPr>
          <w:sz w:val="17"/>
        </w:rPr>
        <w:t>(</w:t>
      </w:r>
      <w:r>
        <w:rPr>
          <w:position w:val="6"/>
          <w:sz w:val="9"/>
        </w:rPr>
        <w:t>1</w:t>
      </w:r>
      <w:r>
        <w:rPr>
          <w:sz w:val="17"/>
        </w:rPr>
        <w:t>) OJ L 8, 12.1.2001, p. 1.</w:t>
      </w:r>
    </w:p>
    <w:p w:rsidR="00EF33D9" w:rsidRDefault="00EF33D9">
      <w:pPr>
        <w:rPr>
          <w:sz w:val="17"/>
        </w:rPr>
        <w:sectPr w:rsidR="00EF33D9">
          <w:pgSz w:w="11910" w:h="16840"/>
          <w:pgMar w:top="1380" w:right="1240" w:bottom="280" w:left="1240" w:header="967" w:footer="0" w:gutter="0"/>
          <w:cols w:space="720"/>
        </w:sectPr>
      </w:pPr>
    </w:p>
    <w:p w:rsidR="00EF33D9" w:rsidRDefault="000D3E5C">
      <w:pPr>
        <w:pStyle w:val="a4"/>
        <w:numPr>
          <w:ilvl w:val="0"/>
          <w:numId w:val="1"/>
        </w:numPr>
        <w:tabs>
          <w:tab w:val="left" w:pos="538"/>
          <w:tab w:val="left" w:pos="540"/>
        </w:tabs>
        <w:spacing w:before="82"/>
        <w:ind w:left="539" w:right="0"/>
        <w:rPr>
          <w:sz w:val="19"/>
        </w:rPr>
      </w:pPr>
      <w:r>
        <w:rPr>
          <w:w w:val="105"/>
          <w:sz w:val="19"/>
        </w:rPr>
        <w:lastRenderedPageBreak/>
        <w:t>Registration s</w:t>
      </w:r>
      <w:r>
        <w:rPr>
          <w:w w:val="105"/>
          <w:sz w:val="19"/>
        </w:rPr>
        <w:t>hall expire nine months following the date of entry into force of this</w:t>
      </w:r>
      <w:r>
        <w:rPr>
          <w:spacing w:val="4"/>
          <w:w w:val="105"/>
          <w:sz w:val="19"/>
        </w:rPr>
        <w:t xml:space="preserve"> </w:t>
      </w:r>
      <w:r>
        <w:rPr>
          <w:w w:val="105"/>
          <w:sz w:val="19"/>
        </w:rPr>
        <w:t>Regulation.</w:t>
      </w:r>
    </w:p>
    <w:p w:rsidR="00EF33D9" w:rsidRDefault="00EF33D9">
      <w:pPr>
        <w:pStyle w:val="a3"/>
        <w:spacing w:before="3"/>
        <w:rPr>
          <w:sz w:val="17"/>
        </w:rPr>
      </w:pPr>
    </w:p>
    <w:p w:rsidR="00EF33D9" w:rsidRDefault="000D3E5C">
      <w:pPr>
        <w:pStyle w:val="a4"/>
        <w:numPr>
          <w:ilvl w:val="0"/>
          <w:numId w:val="1"/>
        </w:numPr>
        <w:tabs>
          <w:tab w:val="left" w:pos="538"/>
          <w:tab w:val="left" w:pos="540"/>
        </w:tabs>
        <w:spacing w:before="1" w:line="189" w:lineRule="auto"/>
        <w:ind w:right="102" w:firstLine="0"/>
        <w:rPr>
          <w:sz w:val="19"/>
        </w:rPr>
      </w:pPr>
      <w:r>
        <w:rPr>
          <w:w w:val="105"/>
          <w:sz w:val="19"/>
        </w:rPr>
        <w:t>All interested parties are invited to make their views known in writing, to provide supporting evidence or  to request</w:t>
      </w:r>
      <w:r>
        <w:rPr>
          <w:spacing w:val="5"/>
          <w:w w:val="105"/>
          <w:sz w:val="19"/>
        </w:rPr>
        <w:t xml:space="preserve"> </w:t>
      </w:r>
      <w:r>
        <w:rPr>
          <w:w w:val="105"/>
          <w:sz w:val="19"/>
        </w:rPr>
        <w:t>to</w:t>
      </w:r>
      <w:r>
        <w:rPr>
          <w:spacing w:val="4"/>
          <w:w w:val="105"/>
          <w:sz w:val="19"/>
        </w:rPr>
        <w:t xml:space="preserve"> </w:t>
      </w:r>
      <w:r>
        <w:rPr>
          <w:w w:val="105"/>
          <w:sz w:val="19"/>
        </w:rPr>
        <w:t>be</w:t>
      </w:r>
      <w:r>
        <w:rPr>
          <w:spacing w:val="5"/>
          <w:w w:val="105"/>
          <w:sz w:val="19"/>
        </w:rPr>
        <w:t xml:space="preserve"> </w:t>
      </w:r>
      <w:r>
        <w:rPr>
          <w:w w:val="105"/>
          <w:sz w:val="19"/>
        </w:rPr>
        <w:t>heard</w:t>
      </w:r>
      <w:r>
        <w:rPr>
          <w:spacing w:val="5"/>
          <w:w w:val="105"/>
          <w:sz w:val="19"/>
        </w:rPr>
        <w:t xml:space="preserve"> </w:t>
      </w:r>
      <w:r>
        <w:rPr>
          <w:w w:val="105"/>
          <w:sz w:val="19"/>
        </w:rPr>
        <w:t>within</w:t>
      </w:r>
      <w:r>
        <w:rPr>
          <w:spacing w:val="5"/>
          <w:w w:val="105"/>
          <w:sz w:val="19"/>
        </w:rPr>
        <w:t xml:space="preserve"> </w:t>
      </w:r>
      <w:r>
        <w:rPr>
          <w:w w:val="105"/>
          <w:sz w:val="19"/>
        </w:rPr>
        <w:t>21</w:t>
      </w:r>
      <w:r>
        <w:rPr>
          <w:spacing w:val="7"/>
          <w:w w:val="105"/>
          <w:sz w:val="19"/>
        </w:rPr>
        <w:t xml:space="preserve"> </w:t>
      </w:r>
      <w:r>
        <w:rPr>
          <w:w w:val="105"/>
          <w:sz w:val="19"/>
        </w:rPr>
        <w:t>days</w:t>
      </w:r>
      <w:r>
        <w:rPr>
          <w:spacing w:val="6"/>
          <w:w w:val="105"/>
          <w:sz w:val="19"/>
        </w:rPr>
        <w:t xml:space="preserve"> </w:t>
      </w:r>
      <w:r>
        <w:rPr>
          <w:w w:val="105"/>
          <w:sz w:val="19"/>
        </w:rPr>
        <w:t>from</w:t>
      </w:r>
      <w:r>
        <w:rPr>
          <w:spacing w:val="4"/>
          <w:w w:val="105"/>
          <w:sz w:val="19"/>
        </w:rPr>
        <w:t xml:space="preserve"> </w:t>
      </w:r>
      <w:r>
        <w:rPr>
          <w:w w:val="105"/>
          <w:sz w:val="19"/>
        </w:rPr>
        <w:t>the</w:t>
      </w:r>
      <w:r>
        <w:rPr>
          <w:spacing w:val="6"/>
          <w:w w:val="105"/>
          <w:sz w:val="19"/>
        </w:rPr>
        <w:t xml:space="preserve"> </w:t>
      </w:r>
      <w:r>
        <w:rPr>
          <w:w w:val="105"/>
          <w:sz w:val="19"/>
        </w:rPr>
        <w:t>date</w:t>
      </w:r>
      <w:r>
        <w:rPr>
          <w:spacing w:val="5"/>
          <w:w w:val="105"/>
          <w:sz w:val="19"/>
        </w:rPr>
        <w:t xml:space="preserve"> </w:t>
      </w:r>
      <w:r>
        <w:rPr>
          <w:w w:val="105"/>
          <w:sz w:val="19"/>
        </w:rPr>
        <w:t>of</w:t>
      </w:r>
      <w:r>
        <w:rPr>
          <w:spacing w:val="6"/>
          <w:w w:val="105"/>
          <w:sz w:val="19"/>
        </w:rPr>
        <w:t xml:space="preserve"> </w:t>
      </w:r>
      <w:r>
        <w:rPr>
          <w:w w:val="105"/>
          <w:sz w:val="19"/>
        </w:rPr>
        <w:t>publication</w:t>
      </w:r>
      <w:r>
        <w:rPr>
          <w:spacing w:val="4"/>
          <w:w w:val="105"/>
          <w:sz w:val="19"/>
        </w:rPr>
        <w:t xml:space="preserve"> </w:t>
      </w:r>
      <w:r>
        <w:rPr>
          <w:w w:val="105"/>
          <w:sz w:val="19"/>
        </w:rPr>
        <w:t>of</w:t>
      </w:r>
      <w:r>
        <w:rPr>
          <w:spacing w:val="9"/>
          <w:w w:val="105"/>
          <w:sz w:val="19"/>
        </w:rPr>
        <w:t xml:space="preserve"> </w:t>
      </w:r>
      <w:r>
        <w:rPr>
          <w:w w:val="105"/>
          <w:sz w:val="19"/>
        </w:rPr>
        <w:t>this</w:t>
      </w:r>
      <w:r>
        <w:rPr>
          <w:spacing w:val="6"/>
          <w:w w:val="105"/>
          <w:sz w:val="19"/>
        </w:rPr>
        <w:t xml:space="preserve"> </w:t>
      </w:r>
      <w:r>
        <w:rPr>
          <w:w w:val="105"/>
          <w:sz w:val="19"/>
        </w:rPr>
        <w:t>Regulation.</w:t>
      </w:r>
    </w:p>
    <w:p w:rsidR="00EF33D9" w:rsidRDefault="00EF33D9">
      <w:pPr>
        <w:pStyle w:val="a3"/>
        <w:spacing w:before="5"/>
        <w:rPr>
          <w:sz w:val="25"/>
        </w:rPr>
      </w:pPr>
    </w:p>
    <w:p w:rsidR="00EF33D9" w:rsidRDefault="000D3E5C">
      <w:pPr>
        <w:ind w:left="4403"/>
        <w:rPr>
          <w:rFonts w:ascii="Cambria"/>
          <w:i/>
          <w:sz w:val="19"/>
        </w:rPr>
      </w:pPr>
      <w:r>
        <w:rPr>
          <w:rFonts w:ascii="Cambria"/>
          <w:i/>
          <w:sz w:val="19"/>
        </w:rPr>
        <w:t>Article 2</w:t>
      </w:r>
    </w:p>
    <w:p w:rsidR="00EF33D9" w:rsidRDefault="00EF33D9">
      <w:pPr>
        <w:pStyle w:val="a3"/>
        <w:spacing w:before="5"/>
        <w:rPr>
          <w:rFonts w:ascii="Cambria"/>
          <w:i/>
          <w:sz w:val="23"/>
        </w:rPr>
      </w:pPr>
    </w:p>
    <w:p w:rsidR="00EF33D9" w:rsidRDefault="000D3E5C">
      <w:pPr>
        <w:spacing w:line="189" w:lineRule="auto"/>
        <w:ind w:left="107" w:right="12"/>
        <w:rPr>
          <w:sz w:val="19"/>
        </w:rPr>
      </w:pPr>
      <w:r>
        <w:rPr>
          <w:sz w:val="19"/>
        </w:rPr>
        <w:t xml:space="preserve">This Regulation shall enter into force on the day following that of its publication in the </w:t>
      </w:r>
      <w:r>
        <w:rPr>
          <w:rFonts w:ascii="Cambria"/>
          <w:i/>
          <w:sz w:val="19"/>
        </w:rPr>
        <w:t>Official Journal of the European Union</w:t>
      </w:r>
      <w:r>
        <w:rPr>
          <w:sz w:val="19"/>
        </w:rPr>
        <w:t>.</w:t>
      </w:r>
    </w:p>
    <w:p w:rsidR="00EF33D9" w:rsidRDefault="00EF33D9">
      <w:pPr>
        <w:pStyle w:val="a3"/>
        <w:spacing w:before="1"/>
        <w:rPr>
          <w:sz w:val="29"/>
        </w:rPr>
      </w:pPr>
    </w:p>
    <w:p w:rsidR="00EF33D9" w:rsidRDefault="000D3E5C">
      <w:pPr>
        <w:pStyle w:val="a3"/>
        <w:spacing w:line="590" w:lineRule="atLeast"/>
        <w:ind w:left="1130" w:right="959"/>
      </w:pPr>
      <w:r>
        <w:rPr>
          <w:w w:val="105"/>
        </w:rPr>
        <w:t xml:space="preserve">This Regulation shall be binding in its entirety and directly applicable in all </w:t>
      </w:r>
      <w:r>
        <w:rPr>
          <w:w w:val="105"/>
        </w:rPr>
        <w:t>Member States. Done at Brussels, 2 May 2018.</w:t>
      </w:r>
    </w:p>
    <w:p w:rsidR="00EF33D9" w:rsidRDefault="00EF33D9">
      <w:pPr>
        <w:pStyle w:val="a3"/>
        <w:spacing w:before="5"/>
        <w:rPr>
          <w:sz w:val="15"/>
        </w:rPr>
      </w:pPr>
    </w:p>
    <w:p w:rsidR="00EF33D9" w:rsidRDefault="000D3E5C">
      <w:pPr>
        <w:spacing w:line="319" w:lineRule="auto"/>
        <w:ind w:left="5659" w:right="2340" w:hanging="234"/>
        <w:rPr>
          <w:rFonts w:ascii="Cambria"/>
          <w:i/>
          <w:sz w:val="19"/>
        </w:rPr>
      </w:pPr>
      <w:r>
        <w:rPr>
          <w:rFonts w:ascii="Cambria"/>
          <w:i/>
          <w:w w:val="90"/>
          <w:sz w:val="19"/>
        </w:rPr>
        <w:t xml:space="preserve">For the Commission </w:t>
      </w:r>
      <w:r>
        <w:rPr>
          <w:rFonts w:ascii="Cambria"/>
          <w:i/>
          <w:w w:val="95"/>
          <w:sz w:val="19"/>
        </w:rPr>
        <w:t>The President</w:t>
      </w:r>
    </w:p>
    <w:p w:rsidR="00EF33D9" w:rsidRDefault="000D3E5C">
      <w:pPr>
        <w:spacing w:line="232" w:lineRule="exact"/>
        <w:ind w:left="5373"/>
        <w:rPr>
          <w:sz w:val="17"/>
        </w:rPr>
      </w:pPr>
      <w:r>
        <w:rPr>
          <w:sz w:val="17"/>
        </w:rPr>
        <w:t>Jean-Claude JUNCKER</w:t>
      </w:r>
    </w:p>
    <w:p w:rsidR="00EF33D9" w:rsidRDefault="00EF33D9">
      <w:pPr>
        <w:pStyle w:val="a3"/>
        <w:rPr>
          <w:sz w:val="20"/>
        </w:rPr>
      </w:pPr>
    </w:p>
    <w:p w:rsidR="00EF33D9" w:rsidRDefault="00EF33D9">
      <w:pPr>
        <w:pStyle w:val="a3"/>
        <w:rPr>
          <w:sz w:val="20"/>
        </w:rPr>
      </w:pPr>
    </w:p>
    <w:p w:rsidR="00EF33D9" w:rsidRDefault="00706179">
      <w:pPr>
        <w:pStyle w:val="a3"/>
        <w:spacing w:before="13"/>
        <w:rPr>
          <w:sz w:val="12"/>
        </w:rPr>
      </w:pPr>
      <w:r>
        <w:rPr>
          <w:noProof/>
        </w:rPr>
        <mc:AlternateContent>
          <mc:Choice Requires="wps">
            <w:drawing>
              <wp:anchor distT="0" distB="0" distL="0" distR="0" simplePos="0" relativeHeight="251658752" behindDoc="1" locked="0" layoutInCell="1" allowOverlap="1">
                <wp:simplePos x="0" y="0"/>
                <wp:positionH relativeFrom="page">
                  <wp:posOffset>3129915</wp:posOffset>
                </wp:positionH>
                <wp:positionV relativeFrom="paragraph">
                  <wp:posOffset>144145</wp:posOffset>
                </wp:positionV>
                <wp:extent cx="1300480" cy="0"/>
                <wp:effectExtent l="5715" t="9525" r="8255" b="9525"/>
                <wp:wrapTopAndBottom/>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72A11"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6.45pt,11.35pt" to="348.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g/HQIAAEI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" strokeweight=".17997mm">
                <w10:wrap type="topAndBottom" anchorx="page"/>
              </v:line>
            </w:pict>
          </mc:Fallback>
        </mc:AlternateContent>
      </w:r>
    </w:p>
    <w:sectPr w:rsidR="00EF33D9">
      <w:pgSz w:w="11910" w:h="16840"/>
      <w:pgMar w:top="1380" w:right="1240" w:bottom="280" w:left="1240" w:header="9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E5C" w:rsidRDefault="000D3E5C">
      <w:r>
        <w:separator/>
      </w:r>
    </w:p>
  </w:endnote>
  <w:endnote w:type="continuationSeparator" w:id="0">
    <w:p w:rsidR="000D3E5C" w:rsidRDefault="000D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E5C" w:rsidRDefault="000D3E5C">
      <w:r>
        <w:separator/>
      </w:r>
    </w:p>
  </w:footnote>
  <w:footnote w:type="continuationSeparator" w:id="0">
    <w:p w:rsidR="000D3E5C" w:rsidRDefault="000D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D9" w:rsidRDefault="00706179">
    <w:pPr>
      <w:pStyle w:val="a3"/>
      <w:spacing w:line="14" w:lineRule="auto"/>
      <w:rPr>
        <w:sz w:val="20"/>
      </w:rPr>
    </w:pPr>
    <w:r>
      <w:rPr>
        <w:noProof/>
      </w:rPr>
      <mc:AlternateContent>
        <mc:Choice Requires="wpg">
          <w:drawing>
            <wp:anchor distT="0" distB="0" distL="114300" distR="114300" simplePos="0" relativeHeight="503309432" behindDoc="1" locked="0" layoutInCell="1" allowOverlap="1">
              <wp:simplePos x="0" y="0"/>
              <wp:positionH relativeFrom="page">
                <wp:posOffset>1421765</wp:posOffset>
              </wp:positionH>
              <wp:positionV relativeFrom="page">
                <wp:posOffset>635635</wp:posOffset>
              </wp:positionV>
              <wp:extent cx="325120" cy="122555"/>
              <wp:effectExtent l="12065" t="6985" r="5715"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22555"/>
                        <a:chOff x="2239" y="1001"/>
                        <a:chExt cx="512" cy="193"/>
                      </a:xfrm>
                    </wpg:grpSpPr>
                    <wps:wsp>
                      <wps:cNvPr id="17" name="Line 20"/>
                      <wps:cNvCnPr>
                        <a:cxnSpLocks noChangeShapeType="1"/>
                      </wps:cNvCnPr>
                      <wps:spPr bwMode="auto">
                        <a:xfrm>
                          <a:off x="2244" y="1010"/>
                          <a:ext cx="0" cy="182"/>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39" y="1189"/>
                          <a:ext cx="512" cy="0"/>
                        </a:xfrm>
                        <a:prstGeom prst="line">
                          <a:avLst/>
                        </a:prstGeom>
                        <a:noFill/>
                        <a:ln w="64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2239" y="1006"/>
                          <a:ext cx="512"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2746" y="1010"/>
                          <a:ext cx="0" cy="182"/>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05DD50" id="Group 16" o:spid="_x0000_s1026" style="position:absolute;margin-left:111.95pt;margin-top:50.05pt;width:25.6pt;height:9.65pt;z-index:-7048;mso-position-horizontal-relative:page;mso-position-vertical-relative:page" coordorigin="2239,1001" coordsize="5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">
              <v:line id="Line 20" o:spid="_x0000_s1027" style="position:absolute;visibility:visible;mso-wrap-style:square" from="2244,1010" to="2244,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" strokeweight=".18mm"/>
              <v:line id="Line 19" o:spid="_x0000_s1028" style="position:absolute;visibility:visible;mso-wrap-style:square" from="2239,1189" to="275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" strokeweight=".18003mm"/>
              <v:line id="Line 18" o:spid="_x0000_s1029" style="position:absolute;visibility:visible;mso-wrap-style:square" from="2239,1006" to="275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" strokeweight=".17997mm"/>
              <v:line id="Line 17" o:spid="_x0000_s1030" style="position:absolute;visibility:visible;mso-wrap-style:square" from="2746,1010" to="274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" strokeweight=".18mm"/>
              <w10:wrap anchorx="page" anchory="page"/>
            </v:group>
          </w:pict>
        </mc:Fallback>
      </mc:AlternateContent>
    </w:r>
    <w:r>
      <w:rPr>
        <w:noProof/>
      </w:rPr>
      <mc:AlternateContent>
        <mc:Choice Requires="wps">
          <w:drawing>
            <wp:anchor distT="0" distB="0" distL="114300" distR="114300" simplePos="0" relativeHeight="503309456" behindDoc="1" locked="0" layoutInCell="1" allowOverlap="1">
              <wp:simplePos x="0" y="0"/>
              <wp:positionH relativeFrom="page">
                <wp:posOffset>528320</wp:posOffset>
              </wp:positionH>
              <wp:positionV relativeFrom="page">
                <wp:posOffset>808990</wp:posOffset>
              </wp:positionV>
              <wp:extent cx="6499225" cy="0"/>
              <wp:effectExtent l="13970" t="8890" r="11430" b="1016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64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2D3A" id="Line 15" o:spid="_x0000_s1026" style="position:absolute;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6pt,63.7pt" to="553.3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OZ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" strokeweight=".18003mm">
              <w10:wrap anchorx="page" anchory="page"/>
            </v:line>
          </w:pict>
        </mc:Fallback>
      </mc:AlternateContent>
    </w:r>
    <w:r>
      <w:rPr>
        <w:noProof/>
      </w:rPr>
      <mc:AlternateContent>
        <mc:Choice Requires="wps">
          <w:drawing>
            <wp:anchor distT="0" distB="0" distL="114300" distR="114300" simplePos="0" relativeHeight="503309480" behindDoc="1" locked="0" layoutInCell="1" allowOverlap="1">
              <wp:simplePos x="0" y="0"/>
              <wp:positionH relativeFrom="page">
                <wp:posOffset>514985</wp:posOffset>
              </wp:positionH>
              <wp:positionV relativeFrom="page">
                <wp:posOffset>601345</wp:posOffset>
              </wp:positionV>
              <wp:extent cx="428625" cy="172085"/>
              <wp:effectExtent l="635" t="127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pStyle w:val="a3"/>
                            <w:spacing w:before="12" w:line="258" w:lineRule="exact"/>
                            <w:ind w:left="20"/>
                          </w:pPr>
                          <w:r>
                            <w:t>L 113/</w:t>
                          </w: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0.55pt;margin-top:47.35pt;width:33.75pt;height:13.5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IwrA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" filled="f" stroked="f">
              <v:textbox inset="0,0,0,0">
                <w:txbxContent>
                  <w:p w:rsidR="00EF33D9" w:rsidRDefault="000D3E5C">
                    <w:pPr>
                      <w:pStyle w:val="a3"/>
                      <w:spacing w:before="12" w:line="258" w:lineRule="exact"/>
                      <w:ind w:left="20"/>
                    </w:pPr>
                    <w:r>
                      <w:t>L 113/</w:t>
                    </w:r>
                    <w:r>
                      <w:fldChar w:fldCharType="begin"/>
                    </w:r>
                    <w: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504" behindDoc="1" locked="0" layoutInCell="1" allowOverlap="1">
              <wp:simplePos x="0" y="0"/>
              <wp:positionH relativeFrom="page">
                <wp:posOffset>2823845</wp:posOffset>
              </wp:positionH>
              <wp:positionV relativeFrom="page">
                <wp:posOffset>601345</wp:posOffset>
              </wp:positionV>
              <wp:extent cx="1908810" cy="172085"/>
              <wp:effectExtent l="4445" t="1270"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pStyle w:val="a3"/>
                            <w:spacing w:before="12" w:line="258" w:lineRule="exact"/>
                            <w:ind w:left="20"/>
                          </w:pPr>
                          <w:r>
                            <w:rPr>
                              <w:w w:val="105"/>
                            </w:rPr>
                            <w:t>Official Journal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22.35pt;margin-top:47.35pt;width:150.3pt;height:13.5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16rw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" filled="f" stroked="f">
              <v:textbox inset="0,0,0,0">
                <w:txbxContent>
                  <w:p w:rsidR="00EF33D9" w:rsidRDefault="000D3E5C">
                    <w:pPr>
                      <w:pStyle w:val="a3"/>
                      <w:spacing w:before="12" w:line="258" w:lineRule="exact"/>
                      <w:ind w:left="20"/>
                    </w:pPr>
                    <w:r>
                      <w:rPr>
                        <w:w w:val="105"/>
                      </w:rPr>
                      <w:t>Official Journal of the European Union</w:t>
                    </w:r>
                  </w:p>
                </w:txbxContent>
              </v:textbox>
              <w10:wrap anchorx="page" anchory="page"/>
            </v:shape>
          </w:pict>
        </mc:Fallback>
      </mc:AlternateContent>
    </w:r>
    <w:r>
      <w:rPr>
        <w:noProof/>
      </w:rPr>
      <mc:AlternateContent>
        <mc:Choice Requires="wps">
          <w:drawing>
            <wp:anchor distT="0" distB="0" distL="114300" distR="114300" simplePos="0" relativeHeight="503309528" behindDoc="1" locked="0" layoutInCell="1" allowOverlap="1">
              <wp:simplePos x="0" y="0"/>
              <wp:positionH relativeFrom="page">
                <wp:posOffset>6572250</wp:posOffset>
              </wp:positionH>
              <wp:positionV relativeFrom="page">
                <wp:posOffset>601345</wp:posOffset>
              </wp:positionV>
              <wp:extent cx="468630" cy="172085"/>
              <wp:effectExtent l="0" t="127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pStyle w:val="a3"/>
                            <w:spacing w:before="12" w:line="258" w:lineRule="exact"/>
                            <w:ind w:left="20"/>
                          </w:pPr>
                          <w:r>
                            <w:rPr>
                              <w:w w:val="110"/>
                            </w:rPr>
                            <w:t>3.5.2018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517.5pt;margin-top:47.35pt;width:36.9pt;height:13.5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jrgIAALE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" filled="f" stroked="f">
              <v:textbox inset="0,0,0,0">
                <w:txbxContent>
                  <w:p w:rsidR="00EF33D9" w:rsidRDefault="000D3E5C">
                    <w:pPr>
                      <w:pStyle w:val="a3"/>
                      <w:spacing w:before="12" w:line="258" w:lineRule="exact"/>
                      <w:ind w:left="20"/>
                    </w:pPr>
                    <w:r>
                      <w:rPr>
                        <w:w w:val="110"/>
                      </w:rPr>
                      <w:t>3.5.2018</w:t>
                    </w:r>
                  </w:p>
                </w:txbxContent>
              </v:textbox>
              <w10:wrap anchorx="page" anchory="page"/>
            </v:shape>
          </w:pict>
        </mc:Fallback>
      </mc:AlternateContent>
    </w:r>
    <w:r>
      <w:rPr>
        <w:noProof/>
      </w:rPr>
      <mc:AlternateContent>
        <mc:Choice Requires="wps">
          <w:drawing>
            <wp:anchor distT="0" distB="0" distL="114300" distR="114300" simplePos="0" relativeHeight="503309552" behindDoc="1" locked="0" layoutInCell="1" allowOverlap="1">
              <wp:simplePos x="0" y="0"/>
              <wp:positionH relativeFrom="page">
                <wp:posOffset>1509395</wp:posOffset>
              </wp:positionH>
              <wp:positionV relativeFrom="page">
                <wp:posOffset>617855</wp:posOffset>
              </wp:positionV>
              <wp:extent cx="150495" cy="155575"/>
              <wp:effectExtent l="444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spacing w:before="12" w:line="233" w:lineRule="exact"/>
                            <w:ind w:left="20"/>
                            <w:rPr>
                              <w:sz w:val="17"/>
                            </w:rPr>
                          </w:pPr>
                          <w:r>
                            <w:rPr>
                              <w:w w:val="95"/>
                              <w:sz w:val="1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18.85pt;margin-top:48.65pt;width:11.85pt;height:12.2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eyrwIAALE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" filled="f" stroked="f">
              <v:textbox inset="0,0,0,0">
                <w:txbxContent>
                  <w:p w:rsidR="00EF33D9" w:rsidRDefault="000D3E5C">
                    <w:pPr>
                      <w:spacing w:before="12" w:line="233" w:lineRule="exact"/>
                      <w:ind w:left="20"/>
                      <w:rPr>
                        <w:sz w:val="17"/>
                      </w:rPr>
                    </w:pPr>
                    <w:r>
                      <w:rPr>
                        <w:w w:val="95"/>
                        <w:sz w:val="17"/>
                      </w:rPr>
                      <w:t>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D9" w:rsidRDefault="00706179">
    <w:pPr>
      <w:pStyle w:val="a3"/>
      <w:spacing w:line="14" w:lineRule="auto"/>
      <w:rPr>
        <w:sz w:val="20"/>
      </w:rPr>
    </w:pPr>
    <w:r>
      <w:rPr>
        <w:noProof/>
      </w:rPr>
      <mc:AlternateContent>
        <mc:Choice Requires="wpg">
          <w:drawing>
            <wp:anchor distT="0" distB="0" distL="114300" distR="114300" simplePos="0" relativeHeight="503309576" behindDoc="1" locked="0" layoutInCell="1" allowOverlap="1">
              <wp:simplePos x="0" y="0"/>
              <wp:positionH relativeFrom="page">
                <wp:posOffset>1421765</wp:posOffset>
              </wp:positionH>
              <wp:positionV relativeFrom="page">
                <wp:posOffset>635635</wp:posOffset>
              </wp:positionV>
              <wp:extent cx="325120" cy="122555"/>
              <wp:effectExtent l="12065" t="6985" r="5715" b="38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22555"/>
                        <a:chOff x="2239" y="1001"/>
                        <a:chExt cx="512" cy="193"/>
                      </a:xfrm>
                    </wpg:grpSpPr>
                    <wps:wsp>
                      <wps:cNvPr id="7" name="Line 10"/>
                      <wps:cNvCnPr>
                        <a:cxnSpLocks noChangeShapeType="1"/>
                      </wps:cNvCnPr>
                      <wps:spPr bwMode="auto">
                        <a:xfrm>
                          <a:off x="2244" y="1010"/>
                          <a:ext cx="0" cy="182"/>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2239" y="1189"/>
                          <a:ext cx="512" cy="0"/>
                        </a:xfrm>
                        <a:prstGeom prst="line">
                          <a:avLst/>
                        </a:prstGeom>
                        <a:noFill/>
                        <a:ln w="64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2239" y="1006"/>
                          <a:ext cx="512" cy="0"/>
                        </a:xfrm>
                        <a:prstGeom prst="line">
                          <a:avLst/>
                        </a:prstGeom>
                        <a:noFill/>
                        <a:ln w="64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46" y="1010"/>
                          <a:ext cx="0" cy="182"/>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3AF77" id="Group 6" o:spid="_x0000_s1026" style="position:absolute;margin-left:111.95pt;margin-top:50.05pt;width:25.6pt;height:9.65pt;z-index:-6904;mso-position-horizontal-relative:page;mso-position-vertical-relative:page" coordorigin="2239,1001" coordsize="5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">
              <v:line id="Line 10" o:spid="_x0000_s1027" style="position:absolute;visibility:visible;mso-wrap-style:square" from="2244,1010" to="2244,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" strokeweight=".18mm"/>
              <v:line id="Line 9" o:spid="_x0000_s1028" style="position:absolute;visibility:visible;mso-wrap-style:square" from="2239,1189" to="2751,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" strokeweight=".18003mm"/>
              <v:line id="Line 8" o:spid="_x0000_s1029" style="position:absolute;visibility:visible;mso-wrap-style:square" from="2239,1006" to="275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" strokeweight=".17997mm"/>
              <v:line id="Line 7" o:spid="_x0000_s1030" style="position:absolute;visibility:visible;mso-wrap-style:square" from="2746,1010" to="274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" strokeweight=".18mm"/>
              <w10:wrap anchorx="page" anchory="page"/>
            </v:group>
          </w:pict>
        </mc:Fallback>
      </mc:AlternateContent>
    </w:r>
    <w:r>
      <w:rPr>
        <w:noProof/>
      </w:rPr>
      <mc:AlternateContent>
        <mc:Choice Requires="wps">
          <w:drawing>
            <wp:anchor distT="0" distB="0" distL="114300" distR="114300" simplePos="0" relativeHeight="503309600" behindDoc="1" locked="0" layoutInCell="1" allowOverlap="1">
              <wp:simplePos x="0" y="0"/>
              <wp:positionH relativeFrom="page">
                <wp:posOffset>528320</wp:posOffset>
              </wp:positionH>
              <wp:positionV relativeFrom="page">
                <wp:posOffset>808990</wp:posOffset>
              </wp:positionV>
              <wp:extent cx="6499225" cy="0"/>
              <wp:effectExtent l="13970" t="8890" r="11430" b="101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64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889A" id="Line 5" o:spid="_x0000_s1026" style="position:absolute;z-index:-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6pt,63.7pt" to="553.3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nCGg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" strokeweight=".18003mm">
              <w10:wrap anchorx="page" anchory="page"/>
            </v:line>
          </w:pict>
        </mc:Fallback>
      </mc:AlternateContent>
    </w:r>
    <w:r>
      <w:rPr>
        <w:noProof/>
      </w:rPr>
      <mc:AlternateContent>
        <mc:Choice Requires="wps">
          <w:drawing>
            <wp:anchor distT="0" distB="0" distL="114300" distR="114300" simplePos="0" relativeHeight="503309624" behindDoc="1" locked="0" layoutInCell="1" allowOverlap="1">
              <wp:simplePos x="0" y="0"/>
              <wp:positionH relativeFrom="page">
                <wp:posOffset>514985</wp:posOffset>
              </wp:positionH>
              <wp:positionV relativeFrom="page">
                <wp:posOffset>601345</wp:posOffset>
              </wp:positionV>
              <wp:extent cx="468630" cy="172085"/>
              <wp:effectExtent l="635"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pStyle w:val="a3"/>
                            <w:spacing w:before="12" w:line="258" w:lineRule="exact"/>
                            <w:ind w:left="20"/>
                          </w:pPr>
                          <w:r>
                            <w:rPr>
                              <w:w w:val="110"/>
                            </w:rPr>
                            <w:t>3.5.2018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0.55pt;margin-top:47.35pt;width:36.9pt;height:13.55pt;z-index:-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un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" filled="f" stroked="f">
              <v:textbox inset="0,0,0,0">
                <w:txbxContent>
                  <w:p w:rsidR="00EF33D9" w:rsidRDefault="000D3E5C">
                    <w:pPr>
                      <w:pStyle w:val="a3"/>
                      <w:spacing w:before="12" w:line="258" w:lineRule="exact"/>
                      <w:ind w:left="20"/>
                    </w:pPr>
                    <w:r>
                      <w:rPr>
                        <w:w w:val="110"/>
                      </w:rPr>
                      <w:t>3.5.2018</w:t>
                    </w:r>
                  </w:p>
                </w:txbxContent>
              </v:textbox>
              <w10:wrap anchorx="page" anchory="page"/>
            </v:shape>
          </w:pict>
        </mc:Fallback>
      </mc:AlternateContent>
    </w:r>
    <w:r>
      <w:rPr>
        <w:noProof/>
      </w:rPr>
      <mc:AlternateContent>
        <mc:Choice Requires="wps">
          <w:drawing>
            <wp:anchor distT="0" distB="0" distL="114300" distR="114300" simplePos="0" relativeHeight="503309648" behindDoc="1" locked="0" layoutInCell="1" allowOverlap="1">
              <wp:simplePos x="0" y="0"/>
              <wp:positionH relativeFrom="page">
                <wp:posOffset>2823845</wp:posOffset>
              </wp:positionH>
              <wp:positionV relativeFrom="page">
                <wp:posOffset>601345</wp:posOffset>
              </wp:positionV>
              <wp:extent cx="1908810" cy="172085"/>
              <wp:effectExtent l="4445" t="127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pStyle w:val="a3"/>
                            <w:spacing w:before="12" w:line="258" w:lineRule="exact"/>
                            <w:ind w:left="20"/>
                          </w:pPr>
                          <w:r>
                            <w:rPr>
                              <w:w w:val="105"/>
                            </w:rPr>
                            <w:t>Official Journal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222.35pt;margin-top:47.35pt;width:150.3pt;height:13.5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Be8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" filled="f" stroked="f">
              <v:textbox inset="0,0,0,0">
                <w:txbxContent>
                  <w:p w:rsidR="00EF33D9" w:rsidRDefault="000D3E5C">
                    <w:pPr>
                      <w:pStyle w:val="a3"/>
                      <w:spacing w:before="12" w:line="258" w:lineRule="exact"/>
                      <w:ind w:left="20"/>
                    </w:pPr>
                    <w:r>
                      <w:rPr>
                        <w:w w:val="105"/>
                      </w:rPr>
                      <w:t>Official Journal of the European Union</w:t>
                    </w:r>
                  </w:p>
                </w:txbxContent>
              </v:textbox>
              <w10:wrap anchorx="page" anchory="page"/>
            </v:shape>
          </w:pict>
        </mc:Fallback>
      </mc:AlternateContent>
    </w:r>
    <w:r>
      <w:rPr>
        <w:noProof/>
      </w:rPr>
      <mc:AlternateContent>
        <mc:Choice Requires="wps">
          <w:drawing>
            <wp:anchor distT="0" distB="0" distL="114300" distR="114300" simplePos="0" relativeHeight="503309672" behindDoc="1" locked="0" layoutInCell="1" allowOverlap="1">
              <wp:simplePos x="0" y="0"/>
              <wp:positionH relativeFrom="page">
                <wp:posOffset>6624955</wp:posOffset>
              </wp:positionH>
              <wp:positionV relativeFrom="page">
                <wp:posOffset>601345</wp:posOffset>
              </wp:positionV>
              <wp:extent cx="428625" cy="172085"/>
              <wp:effectExtent l="0" t="127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pStyle w:val="a3"/>
                            <w:spacing w:before="12" w:line="258" w:lineRule="exact"/>
                            <w:ind w:left="20"/>
                          </w:pPr>
                          <w:r>
                            <w:t>L 113/</w:t>
                          </w: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521.65pt;margin-top:47.35pt;width:33.75pt;height:13.5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msrw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" filled="f" stroked="f">
              <v:textbox inset="0,0,0,0">
                <w:txbxContent>
                  <w:p w:rsidR="00EF33D9" w:rsidRDefault="000D3E5C">
                    <w:pPr>
                      <w:pStyle w:val="a3"/>
                      <w:spacing w:before="12" w:line="258" w:lineRule="exact"/>
                      <w:ind w:left="20"/>
                    </w:pPr>
                    <w:r>
                      <w:t>L 113/</w:t>
                    </w:r>
                    <w:r>
                      <w:fldChar w:fldCharType="begin"/>
                    </w:r>
                    <w:r>
                      <w:instrText xml:space="preserve"> PAGE </w:instrText>
                    </w:r>
                    <w:r>
                      <w:fldChar w:fldCharType="separate"/>
                    </w:r>
                    <w: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696" behindDoc="1" locked="0" layoutInCell="1" allowOverlap="1">
              <wp:simplePos x="0" y="0"/>
              <wp:positionH relativeFrom="page">
                <wp:posOffset>1509395</wp:posOffset>
              </wp:positionH>
              <wp:positionV relativeFrom="page">
                <wp:posOffset>617855</wp:posOffset>
              </wp:positionV>
              <wp:extent cx="150495" cy="15557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3D9" w:rsidRDefault="000D3E5C">
                          <w:pPr>
                            <w:spacing w:before="12" w:line="233" w:lineRule="exact"/>
                            <w:ind w:left="20"/>
                            <w:rPr>
                              <w:sz w:val="17"/>
                            </w:rPr>
                          </w:pPr>
                          <w:r>
                            <w:rPr>
                              <w:w w:val="95"/>
                              <w:sz w:val="1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118.85pt;margin-top:48.65pt;width:11.85pt;height:12.25pt;z-index:-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" filled="f" stroked="f">
              <v:textbox inset="0,0,0,0">
                <w:txbxContent>
                  <w:p w:rsidR="00EF33D9" w:rsidRDefault="000D3E5C">
                    <w:pPr>
                      <w:spacing w:before="12" w:line="233" w:lineRule="exact"/>
                      <w:ind w:left="20"/>
                      <w:rPr>
                        <w:sz w:val="17"/>
                      </w:rPr>
                    </w:pPr>
                    <w:r>
                      <w:rPr>
                        <w:w w:val="95"/>
                        <w:sz w:val="17"/>
                      </w:rPr>
                      <w:t>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6AE"/>
    <w:multiLevelType w:val="multilevel"/>
    <w:tmpl w:val="BD7241B6"/>
    <w:lvl w:ilvl="0">
      <w:start w:val="3"/>
      <w:numFmt w:val="decimal"/>
      <w:lvlText w:val="%1"/>
      <w:lvlJc w:val="left"/>
      <w:pPr>
        <w:ind w:left="1039" w:hanging="395"/>
        <w:jc w:val="left"/>
      </w:pPr>
      <w:rPr>
        <w:rFonts w:hint="default"/>
        <w:lang w:val="en-US" w:eastAsia="en-US" w:bidi="en-US"/>
      </w:rPr>
    </w:lvl>
    <w:lvl w:ilvl="1">
      <w:start w:val="1"/>
      <w:numFmt w:val="decimal"/>
      <w:lvlText w:val="%1.%2."/>
      <w:lvlJc w:val="left"/>
      <w:pPr>
        <w:ind w:left="1039" w:hanging="395"/>
        <w:jc w:val="left"/>
      </w:pPr>
      <w:rPr>
        <w:rFonts w:ascii="新細明體" w:eastAsia="新細明體" w:hAnsi="新細明體" w:cs="新細明體" w:hint="default"/>
        <w:w w:val="107"/>
        <w:sz w:val="19"/>
        <w:szCs w:val="19"/>
        <w:lang w:val="en-US" w:eastAsia="en-US" w:bidi="en-US"/>
      </w:rPr>
    </w:lvl>
    <w:lvl w:ilvl="2">
      <w:numFmt w:val="bullet"/>
      <w:lvlText w:val="•"/>
      <w:lvlJc w:val="left"/>
      <w:pPr>
        <w:ind w:left="2717" w:hanging="395"/>
      </w:pPr>
      <w:rPr>
        <w:rFonts w:hint="default"/>
        <w:lang w:val="en-US" w:eastAsia="en-US" w:bidi="en-US"/>
      </w:rPr>
    </w:lvl>
    <w:lvl w:ilvl="3">
      <w:numFmt w:val="bullet"/>
      <w:lvlText w:val="•"/>
      <w:lvlJc w:val="left"/>
      <w:pPr>
        <w:ind w:left="3555" w:hanging="395"/>
      </w:pPr>
      <w:rPr>
        <w:rFonts w:hint="default"/>
        <w:lang w:val="en-US" w:eastAsia="en-US" w:bidi="en-US"/>
      </w:rPr>
    </w:lvl>
    <w:lvl w:ilvl="4">
      <w:numFmt w:val="bullet"/>
      <w:lvlText w:val="•"/>
      <w:lvlJc w:val="left"/>
      <w:pPr>
        <w:ind w:left="4394" w:hanging="395"/>
      </w:pPr>
      <w:rPr>
        <w:rFonts w:hint="default"/>
        <w:lang w:val="en-US" w:eastAsia="en-US" w:bidi="en-US"/>
      </w:rPr>
    </w:lvl>
    <w:lvl w:ilvl="5">
      <w:numFmt w:val="bullet"/>
      <w:lvlText w:val="•"/>
      <w:lvlJc w:val="left"/>
      <w:pPr>
        <w:ind w:left="5232" w:hanging="395"/>
      </w:pPr>
      <w:rPr>
        <w:rFonts w:hint="default"/>
        <w:lang w:val="en-US" w:eastAsia="en-US" w:bidi="en-US"/>
      </w:rPr>
    </w:lvl>
    <w:lvl w:ilvl="6">
      <w:numFmt w:val="bullet"/>
      <w:lvlText w:val="•"/>
      <w:lvlJc w:val="left"/>
      <w:pPr>
        <w:ind w:left="6071" w:hanging="395"/>
      </w:pPr>
      <w:rPr>
        <w:rFonts w:hint="default"/>
        <w:lang w:val="en-US" w:eastAsia="en-US" w:bidi="en-US"/>
      </w:rPr>
    </w:lvl>
    <w:lvl w:ilvl="7">
      <w:numFmt w:val="bullet"/>
      <w:lvlText w:val="•"/>
      <w:lvlJc w:val="left"/>
      <w:pPr>
        <w:ind w:left="6909" w:hanging="395"/>
      </w:pPr>
      <w:rPr>
        <w:rFonts w:hint="default"/>
        <w:lang w:val="en-US" w:eastAsia="en-US" w:bidi="en-US"/>
      </w:rPr>
    </w:lvl>
    <w:lvl w:ilvl="8">
      <w:numFmt w:val="bullet"/>
      <w:lvlText w:val="•"/>
      <w:lvlJc w:val="left"/>
      <w:pPr>
        <w:ind w:left="7748" w:hanging="395"/>
      </w:pPr>
      <w:rPr>
        <w:rFonts w:hint="default"/>
        <w:lang w:val="en-US" w:eastAsia="en-US" w:bidi="en-US"/>
      </w:rPr>
    </w:lvl>
  </w:abstractNum>
  <w:abstractNum w:abstractNumId="1" w15:restartNumberingAfterBreak="0">
    <w:nsid w:val="582C6016"/>
    <w:multiLevelType w:val="hybridMultilevel"/>
    <w:tmpl w:val="D8E420DC"/>
    <w:lvl w:ilvl="0" w:tplc="1806E45A">
      <w:start w:val="1"/>
      <w:numFmt w:val="decimal"/>
      <w:lvlText w:val="%1."/>
      <w:lvlJc w:val="left"/>
      <w:pPr>
        <w:ind w:left="107" w:hanging="432"/>
        <w:jc w:val="left"/>
      </w:pPr>
      <w:rPr>
        <w:rFonts w:ascii="新細明體" w:eastAsia="新細明體" w:hAnsi="新細明體" w:cs="新細明體" w:hint="default"/>
        <w:w w:val="107"/>
        <w:sz w:val="19"/>
        <w:szCs w:val="19"/>
        <w:lang w:val="en-US" w:eastAsia="en-US" w:bidi="en-US"/>
      </w:rPr>
    </w:lvl>
    <w:lvl w:ilvl="1" w:tplc="035C1B62">
      <w:numFmt w:val="bullet"/>
      <w:lvlText w:val="•"/>
      <w:lvlJc w:val="left"/>
      <w:pPr>
        <w:ind w:left="1032" w:hanging="432"/>
      </w:pPr>
      <w:rPr>
        <w:rFonts w:hint="default"/>
        <w:lang w:val="en-US" w:eastAsia="en-US" w:bidi="en-US"/>
      </w:rPr>
    </w:lvl>
    <w:lvl w:ilvl="2" w:tplc="003A14CE">
      <w:numFmt w:val="bullet"/>
      <w:lvlText w:val="•"/>
      <w:lvlJc w:val="left"/>
      <w:pPr>
        <w:ind w:left="1965" w:hanging="432"/>
      </w:pPr>
      <w:rPr>
        <w:rFonts w:hint="default"/>
        <w:lang w:val="en-US" w:eastAsia="en-US" w:bidi="en-US"/>
      </w:rPr>
    </w:lvl>
    <w:lvl w:ilvl="3" w:tplc="74207928">
      <w:numFmt w:val="bullet"/>
      <w:lvlText w:val="•"/>
      <w:lvlJc w:val="left"/>
      <w:pPr>
        <w:ind w:left="2897" w:hanging="432"/>
      </w:pPr>
      <w:rPr>
        <w:rFonts w:hint="default"/>
        <w:lang w:val="en-US" w:eastAsia="en-US" w:bidi="en-US"/>
      </w:rPr>
    </w:lvl>
    <w:lvl w:ilvl="4" w:tplc="7C5E9A78">
      <w:numFmt w:val="bullet"/>
      <w:lvlText w:val="•"/>
      <w:lvlJc w:val="left"/>
      <w:pPr>
        <w:ind w:left="3830" w:hanging="432"/>
      </w:pPr>
      <w:rPr>
        <w:rFonts w:hint="default"/>
        <w:lang w:val="en-US" w:eastAsia="en-US" w:bidi="en-US"/>
      </w:rPr>
    </w:lvl>
    <w:lvl w:ilvl="5" w:tplc="6394BBDC">
      <w:numFmt w:val="bullet"/>
      <w:lvlText w:val="•"/>
      <w:lvlJc w:val="left"/>
      <w:pPr>
        <w:ind w:left="4762" w:hanging="432"/>
      </w:pPr>
      <w:rPr>
        <w:rFonts w:hint="default"/>
        <w:lang w:val="en-US" w:eastAsia="en-US" w:bidi="en-US"/>
      </w:rPr>
    </w:lvl>
    <w:lvl w:ilvl="6" w:tplc="A0C2A560">
      <w:numFmt w:val="bullet"/>
      <w:lvlText w:val="•"/>
      <w:lvlJc w:val="left"/>
      <w:pPr>
        <w:ind w:left="5695" w:hanging="432"/>
      </w:pPr>
      <w:rPr>
        <w:rFonts w:hint="default"/>
        <w:lang w:val="en-US" w:eastAsia="en-US" w:bidi="en-US"/>
      </w:rPr>
    </w:lvl>
    <w:lvl w:ilvl="7" w:tplc="D79E61E6">
      <w:numFmt w:val="bullet"/>
      <w:lvlText w:val="•"/>
      <w:lvlJc w:val="left"/>
      <w:pPr>
        <w:ind w:left="6627" w:hanging="432"/>
      </w:pPr>
      <w:rPr>
        <w:rFonts w:hint="default"/>
        <w:lang w:val="en-US" w:eastAsia="en-US" w:bidi="en-US"/>
      </w:rPr>
    </w:lvl>
    <w:lvl w:ilvl="8" w:tplc="1F3C9AB2">
      <w:numFmt w:val="bullet"/>
      <w:lvlText w:val="•"/>
      <w:lvlJc w:val="left"/>
      <w:pPr>
        <w:ind w:left="7560" w:hanging="432"/>
      </w:pPr>
      <w:rPr>
        <w:rFonts w:hint="default"/>
        <w:lang w:val="en-US" w:eastAsia="en-US" w:bidi="en-US"/>
      </w:rPr>
    </w:lvl>
  </w:abstractNum>
  <w:abstractNum w:abstractNumId="2" w15:restartNumberingAfterBreak="0">
    <w:nsid w:val="6FFB4266"/>
    <w:multiLevelType w:val="hybridMultilevel"/>
    <w:tmpl w:val="E5B62D9E"/>
    <w:lvl w:ilvl="0" w:tplc="4EB4D98E">
      <w:start w:val="2"/>
      <w:numFmt w:val="decimal"/>
      <w:lvlText w:val="%1."/>
      <w:lvlJc w:val="left"/>
      <w:pPr>
        <w:ind w:left="4730" w:hanging="251"/>
        <w:jc w:val="right"/>
      </w:pPr>
      <w:rPr>
        <w:rFonts w:ascii="新細明體" w:eastAsia="新細明體" w:hAnsi="新細明體" w:cs="新細明體" w:hint="default"/>
        <w:w w:val="107"/>
        <w:sz w:val="19"/>
        <w:szCs w:val="19"/>
        <w:lang w:val="en-US" w:eastAsia="en-US" w:bidi="en-US"/>
      </w:rPr>
    </w:lvl>
    <w:lvl w:ilvl="1" w:tplc="D17878EC">
      <w:numFmt w:val="bullet"/>
      <w:lvlText w:val="•"/>
      <w:lvlJc w:val="left"/>
      <w:pPr>
        <w:ind w:left="5208" w:hanging="251"/>
      </w:pPr>
      <w:rPr>
        <w:rFonts w:hint="default"/>
        <w:lang w:val="en-US" w:eastAsia="en-US" w:bidi="en-US"/>
      </w:rPr>
    </w:lvl>
    <w:lvl w:ilvl="2" w:tplc="95CEA5DE">
      <w:numFmt w:val="bullet"/>
      <w:lvlText w:val="•"/>
      <w:lvlJc w:val="left"/>
      <w:pPr>
        <w:ind w:left="5677" w:hanging="251"/>
      </w:pPr>
      <w:rPr>
        <w:rFonts w:hint="default"/>
        <w:lang w:val="en-US" w:eastAsia="en-US" w:bidi="en-US"/>
      </w:rPr>
    </w:lvl>
    <w:lvl w:ilvl="3" w:tplc="BDCA6C04">
      <w:numFmt w:val="bullet"/>
      <w:lvlText w:val="•"/>
      <w:lvlJc w:val="left"/>
      <w:pPr>
        <w:ind w:left="6145" w:hanging="251"/>
      </w:pPr>
      <w:rPr>
        <w:rFonts w:hint="default"/>
        <w:lang w:val="en-US" w:eastAsia="en-US" w:bidi="en-US"/>
      </w:rPr>
    </w:lvl>
    <w:lvl w:ilvl="4" w:tplc="2E38932E">
      <w:numFmt w:val="bullet"/>
      <w:lvlText w:val="•"/>
      <w:lvlJc w:val="left"/>
      <w:pPr>
        <w:ind w:left="6614" w:hanging="251"/>
      </w:pPr>
      <w:rPr>
        <w:rFonts w:hint="default"/>
        <w:lang w:val="en-US" w:eastAsia="en-US" w:bidi="en-US"/>
      </w:rPr>
    </w:lvl>
    <w:lvl w:ilvl="5" w:tplc="BAFE1B78">
      <w:numFmt w:val="bullet"/>
      <w:lvlText w:val="•"/>
      <w:lvlJc w:val="left"/>
      <w:pPr>
        <w:ind w:left="7082" w:hanging="251"/>
      </w:pPr>
      <w:rPr>
        <w:rFonts w:hint="default"/>
        <w:lang w:val="en-US" w:eastAsia="en-US" w:bidi="en-US"/>
      </w:rPr>
    </w:lvl>
    <w:lvl w:ilvl="6" w:tplc="0DA6E090">
      <w:numFmt w:val="bullet"/>
      <w:lvlText w:val="•"/>
      <w:lvlJc w:val="left"/>
      <w:pPr>
        <w:ind w:left="7551" w:hanging="251"/>
      </w:pPr>
      <w:rPr>
        <w:rFonts w:hint="default"/>
        <w:lang w:val="en-US" w:eastAsia="en-US" w:bidi="en-US"/>
      </w:rPr>
    </w:lvl>
    <w:lvl w:ilvl="7" w:tplc="6F941864">
      <w:numFmt w:val="bullet"/>
      <w:lvlText w:val="•"/>
      <w:lvlJc w:val="left"/>
      <w:pPr>
        <w:ind w:left="8019" w:hanging="251"/>
      </w:pPr>
      <w:rPr>
        <w:rFonts w:hint="default"/>
        <w:lang w:val="en-US" w:eastAsia="en-US" w:bidi="en-US"/>
      </w:rPr>
    </w:lvl>
    <w:lvl w:ilvl="8" w:tplc="02107ADC">
      <w:numFmt w:val="bullet"/>
      <w:lvlText w:val="•"/>
      <w:lvlJc w:val="left"/>
      <w:pPr>
        <w:ind w:left="8488" w:hanging="251"/>
      </w:pPr>
      <w:rPr>
        <w:rFonts w:hint="default"/>
        <w:lang w:val="en-US" w:eastAsia="en-US" w:bidi="en-US"/>
      </w:rPr>
    </w:lvl>
  </w:abstractNum>
  <w:abstractNum w:abstractNumId="3" w15:restartNumberingAfterBreak="0">
    <w:nsid w:val="70C20180"/>
    <w:multiLevelType w:val="hybridMultilevel"/>
    <w:tmpl w:val="843A2C40"/>
    <w:lvl w:ilvl="0" w:tplc="FC70EAFC">
      <w:start w:val="1"/>
      <w:numFmt w:val="decimal"/>
      <w:lvlText w:val="(%1)"/>
      <w:lvlJc w:val="left"/>
      <w:pPr>
        <w:ind w:left="644" w:hanging="538"/>
        <w:jc w:val="left"/>
      </w:pPr>
      <w:rPr>
        <w:rFonts w:ascii="新細明體" w:eastAsia="新細明體" w:hAnsi="新細明體" w:cs="新細明體" w:hint="default"/>
        <w:w w:val="97"/>
        <w:sz w:val="19"/>
        <w:szCs w:val="19"/>
        <w:lang w:val="en-US" w:eastAsia="en-US" w:bidi="en-US"/>
      </w:rPr>
    </w:lvl>
    <w:lvl w:ilvl="1" w:tplc="5EA65F5E">
      <w:start w:val="1"/>
      <w:numFmt w:val="decimal"/>
      <w:lvlText w:val="%2."/>
      <w:lvlJc w:val="left"/>
      <w:pPr>
        <w:ind w:left="3338" w:hanging="251"/>
        <w:jc w:val="left"/>
      </w:pPr>
      <w:rPr>
        <w:rFonts w:ascii="新細明體" w:eastAsia="新細明體" w:hAnsi="新細明體" w:cs="新細明體" w:hint="default"/>
        <w:w w:val="107"/>
        <w:sz w:val="19"/>
        <w:szCs w:val="19"/>
        <w:lang w:val="en-US" w:eastAsia="en-US" w:bidi="en-US"/>
      </w:rPr>
    </w:lvl>
    <w:lvl w:ilvl="2" w:tplc="09DCA9E6">
      <w:numFmt w:val="bullet"/>
      <w:lvlText w:val="•"/>
      <w:lvlJc w:val="left"/>
      <w:pPr>
        <w:ind w:left="4016" w:hanging="251"/>
      </w:pPr>
      <w:rPr>
        <w:rFonts w:hint="default"/>
        <w:lang w:val="en-US" w:eastAsia="en-US" w:bidi="en-US"/>
      </w:rPr>
    </w:lvl>
    <w:lvl w:ilvl="3" w:tplc="52D400D0">
      <w:numFmt w:val="bullet"/>
      <w:lvlText w:val="•"/>
      <w:lvlJc w:val="left"/>
      <w:pPr>
        <w:ind w:left="4692" w:hanging="251"/>
      </w:pPr>
      <w:rPr>
        <w:rFonts w:hint="default"/>
        <w:lang w:val="en-US" w:eastAsia="en-US" w:bidi="en-US"/>
      </w:rPr>
    </w:lvl>
    <w:lvl w:ilvl="4" w:tplc="8D58EF9E">
      <w:numFmt w:val="bullet"/>
      <w:lvlText w:val="•"/>
      <w:lvlJc w:val="left"/>
      <w:pPr>
        <w:ind w:left="5368" w:hanging="251"/>
      </w:pPr>
      <w:rPr>
        <w:rFonts w:hint="default"/>
        <w:lang w:val="en-US" w:eastAsia="en-US" w:bidi="en-US"/>
      </w:rPr>
    </w:lvl>
    <w:lvl w:ilvl="5" w:tplc="0DA82B3A">
      <w:numFmt w:val="bullet"/>
      <w:lvlText w:val="•"/>
      <w:lvlJc w:val="left"/>
      <w:pPr>
        <w:ind w:left="6044" w:hanging="251"/>
      </w:pPr>
      <w:rPr>
        <w:rFonts w:hint="default"/>
        <w:lang w:val="en-US" w:eastAsia="en-US" w:bidi="en-US"/>
      </w:rPr>
    </w:lvl>
    <w:lvl w:ilvl="6" w:tplc="9524EE48">
      <w:numFmt w:val="bullet"/>
      <w:lvlText w:val="•"/>
      <w:lvlJc w:val="left"/>
      <w:pPr>
        <w:ind w:left="6720" w:hanging="251"/>
      </w:pPr>
      <w:rPr>
        <w:rFonts w:hint="default"/>
        <w:lang w:val="en-US" w:eastAsia="en-US" w:bidi="en-US"/>
      </w:rPr>
    </w:lvl>
    <w:lvl w:ilvl="7" w:tplc="CAEC7470">
      <w:numFmt w:val="bullet"/>
      <w:lvlText w:val="•"/>
      <w:lvlJc w:val="left"/>
      <w:pPr>
        <w:ind w:left="7397" w:hanging="251"/>
      </w:pPr>
      <w:rPr>
        <w:rFonts w:hint="default"/>
        <w:lang w:val="en-US" w:eastAsia="en-US" w:bidi="en-US"/>
      </w:rPr>
    </w:lvl>
    <w:lvl w:ilvl="8" w:tplc="4B58C750">
      <w:numFmt w:val="bullet"/>
      <w:lvlText w:val="•"/>
      <w:lvlJc w:val="left"/>
      <w:pPr>
        <w:ind w:left="8073" w:hanging="251"/>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D9"/>
    <w:rsid w:val="000D3E5C"/>
    <w:rsid w:val="00706179"/>
    <w:rsid w:val="00EF33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3DFDA7-6D7A-45FD-B076-C93F1FD1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新細明體" w:eastAsia="新細明體" w:hAnsi="新細明體" w:cs="新細明體"/>
      <w:lang w:bidi="en-US"/>
    </w:rPr>
  </w:style>
  <w:style w:type="paragraph" w:styleId="1">
    <w:name w:val="heading 1"/>
    <w:basedOn w:val="a"/>
    <w:uiPriority w:val="1"/>
    <w:qFormat/>
    <w:pPr>
      <w:ind w:left="1039" w:hanging="395"/>
      <w:outlineLvl w:val="0"/>
    </w:pPr>
    <w:rPr>
      <w:rFonts w:ascii="Book Antiqua" w:eastAsia="Book Antiqua" w:hAnsi="Book Antiqua" w:cs="Book Antiqu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644" w:right="104" w:hanging="53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3343</Words>
  <Characters>19061</Characters>
  <Application>Microsoft Office Word</Application>
  <DocSecurity>0</DocSecurity>
  <Lines>158</Lines>
  <Paragraphs>44</Paragraphs>
  <ScaleCrop>false</ScaleCrop>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2018/  671  -  of  2 May  2018  -  making  imports  of  electric  bicycles  originating  in  the  People's  Republic  of  China  subject  to  registration</dc:title>
  <dc:creator>Publications Office</dc:creator>
  <cp:lastModifiedBy>Shelly</cp:lastModifiedBy>
  <cp:revision>2</cp:revision>
  <dcterms:created xsi:type="dcterms:W3CDTF">2018-05-11T02:21:00Z</dcterms:created>
  <dcterms:modified xsi:type="dcterms:W3CDTF">2018-05-11T02:21:00Z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Arbortext Advanced Print Publisher 11.0.3108/W Unicode-x64</vt:lpwstr>
  </property>
  <property fmtid="{D5CDD505-2E9C-101B-9397-08002B2CF9AE}" pid="4" name="LastSaved">
    <vt:filetime>2018-05-11T00:00:00Z</vt:filetime>
  </property>
</Properties>
</file>